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Pr="009B68D5" w:rsidRDefault="00A2035F" w:rsidP="009B68D5">
      <w:pPr>
        <w:spacing w:before="100" w:beforeAutospacing="1" w:after="100" w:afterAutospacing="1" w:line="240" w:lineRule="auto"/>
        <w:jc w:val="center"/>
        <w:outlineLvl w:val="0"/>
        <w:rPr>
          <w:rFonts w:ascii="Times New Roman" w:hAnsi="Times New Roman"/>
          <w:b/>
          <w:bCs/>
          <w:i/>
          <w:kern w:val="36"/>
          <w:sz w:val="36"/>
          <w:szCs w:val="48"/>
        </w:rPr>
      </w:pPr>
      <w:r w:rsidRPr="009B68D5">
        <w:rPr>
          <w:rFonts w:ascii="Times New Roman" w:hAnsi="Times New Roman"/>
          <w:b/>
          <w:bCs/>
          <w:i/>
          <w:kern w:val="36"/>
          <w:sz w:val="36"/>
          <w:szCs w:val="48"/>
        </w:rPr>
        <w:t>Примітки до фінансової звітності ПАТ «</w:t>
      </w:r>
      <w:r>
        <w:rPr>
          <w:rFonts w:ascii="Times New Roman" w:hAnsi="Times New Roman"/>
          <w:b/>
          <w:bCs/>
          <w:i/>
          <w:kern w:val="36"/>
          <w:sz w:val="36"/>
          <w:szCs w:val="48"/>
        </w:rPr>
        <w:t>Заваллівський графітовий комбінат</w:t>
      </w:r>
      <w:r w:rsidRPr="009B68D5">
        <w:rPr>
          <w:rFonts w:ascii="Times New Roman" w:hAnsi="Times New Roman"/>
          <w:b/>
          <w:bCs/>
          <w:i/>
          <w:kern w:val="36"/>
          <w:sz w:val="36"/>
          <w:szCs w:val="48"/>
        </w:rPr>
        <w:t xml:space="preserve">» за   станом на  31 грудня </w:t>
      </w:r>
      <w:r>
        <w:rPr>
          <w:rFonts w:ascii="Times New Roman" w:hAnsi="Times New Roman"/>
          <w:b/>
          <w:bCs/>
          <w:i/>
          <w:kern w:val="36"/>
          <w:sz w:val="36"/>
          <w:szCs w:val="48"/>
        </w:rPr>
        <w:t>201</w:t>
      </w:r>
      <w:r w:rsidR="000751E9">
        <w:rPr>
          <w:rFonts w:ascii="Times New Roman" w:hAnsi="Times New Roman"/>
          <w:b/>
          <w:bCs/>
          <w:i/>
          <w:kern w:val="36"/>
          <w:sz w:val="36"/>
          <w:szCs w:val="48"/>
          <w:lang w:val="ru-RU"/>
        </w:rPr>
        <w:t>5</w:t>
      </w:r>
      <w:r w:rsidRPr="00EF64D8">
        <w:rPr>
          <w:rFonts w:ascii="Times New Roman" w:hAnsi="Times New Roman"/>
          <w:b/>
          <w:bCs/>
          <w:i/>
          <w:kern w:val="36"/>
          <w:sz w:val="36"/>
          <w:szCs w:val="48"/>
          <w:lang w:val="ru-RU"/>
        </w:rPr>
        <w:t xml:space="preserve"> </w:t>
      </w:r>
      <w:r w:rsidRPr="009B68D5">
        <w:rPr>
          <w:rFonts w:ascii="Times New Roman" w:hAnsi="Times New Roman"/>
          <w:b/>
          <w:bCs/>
          <w:i/>
          <w:kern w:val="36"/>
          <w:sz w:val="36"/>
          <w:szCs w:val="48"/>
        </w:rPr>
        <w:t>року.</w:t>
      </w:r>
    </w:p>
    <w:p w:rsidR="00A2035F" w:rsidRPr="009B68D5" w:rsidRDefault="00A2035F" w:rsidP="00325D8C">
      <w:pPr>
        <w:spacing w:before="100" w:beforeAutospacing="1" w:after="100" w:afterAutospacing="1" w:line="240" w:lineRule="auto"/>
        <w:outlineLvl w:val="0"/>
        <w:rPr>
          <w:rFonts w:ascii="Times New Roman" w:hAnsi="Times New Roman"/>
          <w:b/>
          <w:bCs/>
          <w:i/>
          <w:kern w:val="36"/>
          <w:sz w:val="36"/>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Default="00A2035F" w:rsidP="00325D8C">
      <w:pPr>
        <w:spacing w:before="100" w:beforeAutospacing="1" w:after="100" w:afterAutospacing="1" w:line="240" w:lineRule="auto"/>
        <w:outlineLvl w:val="0"/>
        <w:rPr>
          <w:rFonts w:ascii="Times New Roman" w:hAnsi="Times New Roman"/>
          <w:b/>
          <w:bCs/>
          <w:kern w:val="36"/>
          <w:sz w:val="32"/>
          <w:szCs w:val="48"/>
        </w:rPr>
      </w:pPr>
    </w:p>
    <w:p w:rsidR="00A2035F" w:rsidRPr="009B68D5" w:rsidRDefault="00A2035F" w:rsidP="00737277">
      <w:pPr>
        <w:spacing w:before="100" w:beforeAutospacing="1" w:after="100" w:afterAutospacing="1" w:line="240" w:lineRule="auto"/>
        <w:outlineLvl w:val="0"/>
        <w:rPr>
          <w:rFonts w:ascii="Times New Roman" w:hAnsi="Times New Roman"/>
          <w:b/>
          <w:bCs/>
          <w:i/>
          <w:kern w:val="36"/>
          <w:sz w:val="32"/>
          <w:szCs w:val="48"/>
        </w:rPr>
      </w:pPr>
      <w:r w:rsidRPr="009B68D5">
        <w:rPr>
          <w:rFonts w:ascii="Times New Roman" w:hAnsi="Times New Roman"/>
          <w:b/>
          <w:bCs/>
          <w:i/>
          <w:kern w:val="36"/>
          <w:sz w:val="32"/>
          <w:szCs w:val="48"/>
        </w:rPr>
        <w:t>1. Інформація про Компанію.</w:t>
      </w:r>
    </w:p>
    <w:p w:rsidR="00A2035F" w:rsidRPr="009B68D5" w:rsidRDefault="00A2035F" w:rsidP="00737277">
      <w:pPr>
        <w:spacing w:before="100" w:beforeAutospacing="1" w:after="100" w:afterAutospacing="1" w:line="240" w:lineRule="auto"/>
        <w:outlineLvl w:val="0"/>
        <w:rPr>
          <w:rFonts w:ascii="Times New Roman" w:hAnsi="Times New Roman"/>
          <w:b/>
          <w:bCs/>
          <w:i/>
          <w:kern w:val="36"/>
          <w:sz w:val="32"/>
          <w:szCs w:val="48"/>
        </w:rPr>
      </w:pPr>
      <w:r w:rsidRPr="009B68D5">
        <w:rPr>
          <w:rFonts w:ascii="Times New Roman" w:hAnsi="Times New Roman"/>
          <w:b/>
          <w:bCs/>
          <w:i/>
          <w:kern w:val="36"/>
          <w:sz w:val="32"/>
          <w:szCs w:val="48"/>
        </w:rPr>
        <w:t>2. Найбільш суттєві положення облікової політики.</w:t>
      </w:r>
    </w:p>
    <w:p w:rsidR="00A2035F" w:rsidRPr="009B68D5" w:rsidRDefault="00A2035F" w:rsidP="00737277">
      <w:pPr>
        <w:spacing w:before="100" w:beforeAutospacing="1" w:after="100" w:afterAutospacing="1" w:line="240" w:lineRule="auto"/>
        <w:outlineLvl w:val="0"/>
        <w:rPr>
          <w:rFonts w:ascii="Times New Roman" w:hAnsi="Times New Roman"/>
          <w:b/>
          <w:bCs/>
          <w:i/>
          <w:kern w:val="36"/>
          <w:sz w:val="32"/>
          <w:szCs w:val="48"/>
        </w:rPr>
      </w:pPr>
      <w:r w:rsidRPr="009B68D5">
        <w:rPr>
          <w:rFonts w:ascii="Times New Roman" w:hAnsi="Times New Roman"/>
          <w:b/>
          <w:bCs/>
          <w:i/>
          <w:kern w:val="36"/>
          <w:sz w:val="32"/>
          <w:szCs w:val="48"/>
        </w:rPr>
        <w:t>3. Здатність продовжувати діяльність безперервно.</w:t>
      </w:r>
    </w:p>
    <w:p w:rsidR="00A2035F" w:rsidRPr="009B68D5" w:rsidRDefault="00A2035F" w:rsidP="009247C1">
      <w:pPr>
        <w:spacing w:before="100" w:beforeAutospacing="1" w:after="100" w:afterAutospacing="1" w:line="240" w:lineRule="auto"/>
        <w:outlineLvl w:val="0"/>
        <w:rPr>
          <w:rFonts w:ascii="Times New Roman" w:hAnsi="Times New Roman"/>
          <w:b/>
          <w:bCs/>
          <w:i/>
          <w:kern w:val="36"/>
          <w:sz w:val="32"/>
          <w:szCs w:val="48"/>
        </w:rPr>
      </w:pPr>
      <w:r w:rsidRPr="009B68D5">
        <w:rPr>
          <w:rFonts w:ascii="Times New Roman" w:hAnsi="Times New Roman"/>
          <w:b/>
          <w:bCs/>
          <w:i/>
          <w:kern w:val="36"/>
          <w:sz w:val="32"/>
          <w:szCs w:val="48"/>
        </w:rPr>
        <w:t>4. Основні засоби</w:t>
      </w:r>
      <w:r w:rsidR="00910B82">
        <w:rPr>
          <w:rFonts w:ascii="Times New Roman" w:hAnsi="Times New Roman"/>
          <w:b/>
          <w:bCs/>
          <w:i/>
          <w:kern w:val="36"/>
          <w:sz w:val="32"/>
          <w:szCs w:val="48"/>
        </w:rPr>
        <w:t xml:space="preserve"> та нематеріальні активи</w:t>
      </w:r>
      <w:r>
        <w:rPr>
          <w:rFonts w:ascii="Times New Roman" w:hAnsi="Times New Roman"/>
          <w:b/>
          <w:bCs/>
          <w:i/>
          <w:kern w:val="36"/>
          <w:sz w:val="32"/>
          <w:szCs w:val="48"/>
        </w:rPr>
        <w:t>.</w:t>
      </w:r>
    </w:p>
    <w:p w:rsidR="00A2035F" w:rsidRPr="009B68D5" w:rsidRDefault="00A2035F" w:rsidP="00737277">
      <w:pPr>
        <w:spacing w:after="0" w:line="240" w:lineRule="auto"/>
        <w:rPr>
          <w:rFonts w:ascii="Times New Roman" w:hAnsi="Times New Roman"/>
          <w:b/>
          <w:bCs/>
          <w:i/>
          <w:kern w:val="36"/>
          <w:sz w:val="32"/>
          <w:szCs w:val="48"/>
        </w:rPr>
      </w:pPr>
      <w:r>
        <w:rPr>
          <w:rFonts w:ascii="Times New Roman" w:hAnsi="Times New Roman"/>
          <w:b/>
          <w:bCs/>
          <w:i/>
          <w:kern w:val="36"/>
          <w:sz w:val="32"/>
          <w:szCs w:val="48"/>
        </w:rPr>
        <w:t>5</w:t>
      </w:r>
      <w:r w:rsidRPr="009B68D5">
        <w:rPr>
          <w:rFonts w:ascii="Times New Roman" w:hAnsi="Times New Roman"/>
          <w:b/>
          <w:bCs/>
          <w:i/>
          <w:kern w:val="36"/>
          <w:sz w:val="32"/>
          <w:szCs w:val="48"/>
        </w:rPr>
        <w:t>. Запаси.</w:t>
      </w:r>
    </w:p>
    <w:p w:rsidR="00A2035F" w:rsidRPr="009B68D5" w:rsidRDefault="00A2035F" w:rsidP="009247C1">
      <w:pPr>
        <w:spacing w:before="100" w:beforeAutospacing="1" w:after="100" w:afterAutospacing="1" w:line="240" w:lineRule="auto"/>
        <w:outlineLvl w:val="0"/>
        <w:rPr>
          <w:rFonts w:ascii="Times New Roman" w:hAnsi="Times New Roman"/>
          <w:b/>
          <w:bCs/>
          <w:i/>
          <w:kern w:val="36"/>
          <w:sz w:val="32"/>
          <w:szCs w:val="48"/>
        </w:rPr>
      </w:pPr>
      <w:r>
        <w:rPr>
          <w:rFonts w:ascii="Times New Roman" w:hAnsi="Times New Roman"/>
          <w:b/>
          <w:bCs/>
          <w:i/>
          <w:kern w:val="36"/>
          <w:sz w:val="32"/>
          <w:szCs w:val="48"/>
        </w:rPr>
        <w:t>6</w:t>
      </w:r>
      <w:r w:rsidRPr="009B68D5">
        <w:rPr>
          <w:rFonts w:ascii="Times New Roman" w:hAnsi="Times New Roman"/>
          <w:b/>
          <w:bCs/>
          <w:i/>
          <w:kern w:val="36"/>
          <w:sz w:val="32"/>
          <w:szCs w:val="48"/>
        </w:rPr>
        <w:t>. Фінансові інструменти.</w:t>
      </w:r>
    </w:p>
    <w:p w:rsidR="00A2035F" w:rsidRPr="009B68D5" w:rsidRDefault="00A2035F" w:rsidP="009247C1">
      <w:pPr>
        <w:spacing w:after="0" w:line="240" w:lineRule="auto"/>
        <w:rPr>
          <w:rFonts w:ascii="Times New Roman" w:hAnsi="Times New Roman"/>
          <w:b/>
          <w:bCs/>
          <w:i/>
          <w:kern w:val="36"/>
          <w:sz w:val="32"/>
          <w:szCs w:val="48"/>
        </w:rPr>
      </w:pPr>
      <w:r>
        <w:rPr>
          <w:rFonts w:ascii="Times New Roman" w:hAnsi="Times New Roman"/>
          <w:b/>
          <w:bCs/>
          <w:i/>
          <w:kern w:val="36"/>
          <w:sz w:val="32"/>
          <w:szCs w:val="48"/>
        </w:rPr>
        <w:t>7</w:t>
      </w:r>
      <w:r w:rsidRPr="009B68D5">
        <w:rPr>
          <w:rFonts w:ascii="Times New Roman" w:hAnsi="Times New Roman"/>
          <w:b/>
          <w:bCs/>
          <w:i/>
          <w:kern w:val="36"/>
          <w:sz w:val="32"/>
          <w:szCs w:val="48"/>
        </w:rPr>
        <w:t>. Дохід.</w:t>
      </w:r>
    </w:p>
    <w:p w:rsidR="00A2035F" w:rsidRPr="009B68D5" w:rsidRDefault="00A2035F" w:rsidP="009247C1">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8</w:t>
      </w:r>
      <w:r w:rsidRPr="009B68D5">
        <w:rPr>
          <w:rFonts w:ascii="Times New Roman" w:hAnsi="Times New Roman"/>
          <w:b/>
          <w:bCs/>
          <w:i/>
          <w:kern w:val="36"/>
          <w:sz w:val="32"/>
          <w:szCs w:val="48"/>
        </w:rPr>
        <w:t>. Податок на прибуток.</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9</w:t>
      </w:r>
      <w:r w:rsidRPr="009B68D5">
        <w:rPr>
          <w:rFonts w:ascii="Times New Roman" w:hAnsi="Times New Roman"/>
          <w:b/>
          <w:bCs/>
          <w:i/>
          <w:kern w:val="36"/>
          <w:sz w:val="32"/>
          <w:szCs w:val="48"/>
        </w:rPr>
        <w:t>. Прибуток на акцію.</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10</w:t>
      </w:r>
      <w:r w:rsidRPr="009B68D5">
        <w:rPr>
          <w:rFonts w:ascii="Times New Roman" w:hAnsi="Times New Roman"/>
          <w:b/>
          <w:bCs/>
          <w:i/>
          <w:kern w:val="36"/>
          <w:sz w:val="32"/>
          <w:szCs w:val="48"/>
        </w:rPr>
        <w:t>. Виплати працівникам.</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11</w:t>
      </w:r>
      <w:r w:rsidRPr="009B68D5">
        <w:rPr>
          <w:rFonts w:ascii="Times New Roman" w:hAnsi="Times New Roman"/>
          <w:b/>
          <w:bCs/>
          <w:i/>
          <w:kern w:val="36"/>
          <w:sz w:val="32"/>
          <w:szCs w:val="48"/>
        </w:rPr>
        <w:t>. Джерела невизначеності оцінки.</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12</w:t>
      </w:r>
      <w:r w:rsidRPr="009B68D5">
        <w:rPr>
          <w:rFonts w:ascii="Times New Roman" w:hAnsi="Times New Roman"/>
          <w:b/>
          <w:bCs/>
          <w:i/>
          <w:kern w:val="36"/>
          <w:sz w:val="32"/>
          <w:szCs w:val="48"/>
        </w:rPr>
        <w:t>. Зв’язані сторони.</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r>
        <w:rPr>
          <w:rFonts w:ascii="Times New Roman" w:hAnsi="Times New Roman"/>
          <w:b/>
          <w:bCs/>
          <w:i/>
          <w:kern w:val="36"/>
          <w:sz w:val="32"/>
          <w:szCs w:val="48"/>
        </w:rPr>
        <w:t>13</w:t>
      </w:r>
      <w:r w:rsidRPr="009B68D5">
        <w:rPr>
          <w:rFonts w:ascii="Times New Roman" w:hAnsi="Times New Roman"/>
          <w:b/>
          <w:bCs/>
          <w:i/>
          <w:kern w:val="36"/>
          <w:sz w:val="32"/>
          <w:szCs w:val="48"/>
        </w:rPr>
        <w:t>. Події після звітної дати.</w:t>
      </w:r>
    </w:p>
    <w:p w:rsidR="00A2035F" w:rsidRPr="009B68D5" w:rsidRDefault="00A2035F" w:rsidP="00234484">
      <w:pPr>
        <w:spacing w:before="100" w:beforeAutospacing="1" w:after="100" w:afterAutospacing="1" w:line="240" w:lineRule="auto"/>
        <w:rPr>
          <w:rFonts w:ascii="Times New Roman" w:hAnsi="Times New Roman"/>
          <w:b/>
          <w:bCs/>
          <w:i/>
          <w:kern w:val="36"/>
          <w:sz w:val="32"/>
          <w:szCs w:val="48"/>
        </w:rPr>
      </w:pPr>
    </w:p>
    <w:p w:rsidR="00A2035F" w:rsidRDefault="00A2035F" w:rsidP="009247C1">
      <w:pPr>
        <w:spacing w:after="0" w:line="240" w:lineRule="auto"/>
        <w:rPr>
          <w:rFonts w:ascii="Times New Roman" w:hAnsi="Times New Roman"/>
          <w:b/>
          <w:bCs/>
          <w:kern w:val="36"/>
          <w:sz w:val="32"/>
          <w:szCs w:val="48"/>
        </w:rPr>
      </w:pPr>
    </w:p>
    <w:p w:rsidR="00A2035F" w:rsidRDefault="00A2035F" w:rsidP="009247C1">
      <w:pPr>
        <w:spacing w:after="0" w:line="240" w:lineRule="auto"/>
        <w:rPr>
          <w:rFonts w:ascii="Times New Roman" w:hAnsi="Times New Roman"/>
          <w:b/>
          <w:bCs/>
          <w:kern w:val="36"/>
          <w:sz w:val="32"/>
          <w:szCs w:val="48"/>
        </w:rPr>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Default="00A2035F" w:rsidP="00737277">
      <w:pPr>
        <w:spacing w:after="0" w:line="240" w:lineRule="auto"/>
      </w:pPr>
    </w:p>
    <w:p w:rsidR="00A2035F" w:rsidRPr="00737277" w:rsidRDefault="004D5318" w:rsidP="00737277">
      <w:pPr>
        <w:spacing w:after="0" w:line="240" w:lineRule="auto"/>
        <w:rPr>
          <w:rFonts w:ascii="Times New Roman" w:hAnsi="Times New Roman"/>
          <w:sz w:val="24"/>
          <w:szCs w:val="24"/>
        </w:rPr>
      </w:pPr>
      <w:hyperlink r:id="rId7" w:tgtFrame="_blank" w:tooltip="Читати в форматі RSS" w:history="1">
        <w:r w:rsidRPr="004D5318">
          <w:rPr>
            <w:rFonts w:ascii="Times New Roman" w:hAnsi="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Читати в форматі RSS&quot;" style="width:10.5pt;height:10.5pt" o:button="t">
              <v:imagedata r:id="rId8" o:title=""/>
            </v:shape>
          </w:pict>
        </w:r>
      </w:hyperlink>
      <w:hyperlink r:id="rId9" w:tgtFrame="_blank" w:tooltip="Опублікувати В Контакте" w:history="1">
        <w:r w:rsidRPr="004D5318">
          <w:rPr>
            <w:rFonts w:ascii="Times New Roman" w:hAnsi="Times New Roman"/>
            <w:color w:val="0000FF"/>
            <w:sz w:val="24"/>
            <w:szCs w:val="24"/>
          </w:rPr>
          <w:pict>
            <v:shape id="_x0000_i1026" type="#_x0000_t75" alt="" title="&quot;Опублікувати В Контакте&quot;" style="width:10.5pt;height:10.5pt" o:button="t">
              <v:imagedata r:id="rId8" o:title=""/>
            </v:shape>
          </w:pict>
        </w:r>
      </w:hyperlink>
      <w:hyperlink r:id="rId10" w:tgtFrame="_blank" w:tooltip="Поділитися в Однокласниках" w:history="1">
        <w:r w:rsidRPr="004D5318">
          <w:rPr>
            <w:rFonts w:ascii="Times New Roman" w:hAnsi="Times New Roman"/>
            <w:color w:val="0000FF"/>
            <w:sz w:val="24"/>
            <w:szCs w:val="24"/>
          </w:rPr>
          <w:pict>
            <v:shape id="_x0000_i1027" type="#_x0000_t75" alt="" title="&quot;Поділитися в Однокласниках&quot;" style="width:10.5pt;height:10.5pt" o:button="t">
              <v:imagedata r:id="rId8" o:title=""/>
            </v:shape>
          </w:pict>
        </w:r>
      </w:hyperlink>
      <w:hyperlink r:id="rId11" w:tgtFrame="_blank" w:tooltip="Додати В Twitter" w:history="1">
        <w:r w:rsidRPr="004D5318">
          <w:rPr>
            <w:rFonts w:ascii="Times New Roman" w:hAnsi="Times New Roman"/>
            <w:color w:val="0000FF"/>
            <w:sz w:val="24"/>
            <w:szCs w:val="24"/>
          </w:rPr>
          <w:pict>
            <v:shape id="_x0000_i1028" type="#_x0000_t75" alt="" title="&quot;Додати В Twitter&quot;" style="width:10.5pt;height:10.5pt" o:button="t">
              <v:imagedata r:id="rId8" o:title=""/>
            </v:shape>
          </w:pict>
        </w:r>
      </w:hyperlink>
      <w:hyperlink r:id="rId12" w:tgtFrame="_blank" w:tooltip="Добати В Facebook" w:history="1">
        <w:r w:rsidRPr="004D5318">
          <w:rPr>
            <w:rFonts w:ascii="Times New Roman" w:hAnsi="Times New Roman"/>
            <w:color w:val="0000FF"/>
            <w:sz w:val="24"/>
            <w:szCs w:val="24"/>
          </w:rPr>
          <w:pict>
            <v:shape id="_x0000_i1029" type="#_x0000_t75" alt="" title="&quot;Добати В Facebook&quot;" style="width:10.5pt;height:10.5pt" o:button="t">
              <v:imagedata r:id="rId8" o:title=""/>
            </v:shape>
          </w:pict>
        </w:r>
      </w:hyperlink>
      <w:hyperlink r:id="rId13" w:tgtFrame="_blank" w:tooltip="Go to Google Buzz" w:history="1">
        <w:r w:rsidRPr="004D5318">
          <w:rPr>
            <w:rFonts w:ascii="Times New Roman" w:hAnsi="Times New Roman"/>
            <w:color w:val="0000FF"/>
            <w:sz w:val="24"/>
            <w:szCs w:val="24"/>
          </w:rPr>
          <w:pict>
            <v:shape id="_x0000_i1030" type="#_x0000_t75" alt="" title="&quot;Go to Google Buzz&quot;" style="width:10.5pt;height:10.5pt" o:button="t">
              <v:imagedata r:id="rId8" o:title=""/>
            </v:shape>
          </w:pict>
        </w:r>
      </w:hyperlink>
      <w:hyperlink r:id="rId14" w:tgtFrame="_blank" w:tooltip="В ЖЖ" w:history="1">
        <w:r w:rsidRPr="004D5318">
          <w:rPr>
            <w:rFonts w:ascii="Times New Roman" w:hAnsi="Times New Roman"/>
            <w:color w:val="0000FF"/>
            <w:sz w:val="24"/>
            <w:szCs w:val="24"/>
          </w:rPr>
          <w:pict>
            <v:shape id="_x0000_i1031" type="#_x0000_t75" alt="" title="&quot;В ЖЖ&quot;" style="width:10.5pt;height:10.5pt" o:button="t">
              <v:imagedata r:id="rId8" o:title=""/>
            </v:shape>
          </w:pict>
        </w:r>
      </w:hyperlink>
      <w:hyperlink r:id="rId15" w:tgtFrame="_blank" w:tooltip="В Мой Мир на mail.ru" w:history="1">
        <w:r w:rsidRPr="004D5318">
          <w:rPr>
            <w:rFonts w:ascii="Times New Roman" w:hAnsi="Times New Roman"/>
            <w:color w:val="0000FF"/>
            <w:sz w:val="24"/>
            <w:szCs w:val="24"/>
          </w:rPr>
          <w:pict>
            <v:shape id="_x0000_i1032" type="#_x0000_t75" alt="" title="&quot;В Мой Мир на mail.ru&quot;" style="width:10.5pt;height:10.5pt" o:button="t">
              <v:imagedata r:id="rId8" o:title=""/>
            </v:shape>
          </w:pict>
        </w:r>
      </w:hyperlink>
      <w:hyperlink r:id="rId16" w:tgtFrame="_blank" w:tooltip="В LinkedIn" w:history="1">
        <w:r w:rsidRPr="004D5318">
          <w:rPr>
            <w:rFonts w:ascii="Times New Roman" w:hAnsi="Times New Roman"/>
            <w:color w:val="0000FF"/>
            <w:sz w:val="24"/>
            <w:szCs w:val="24"/>
          </w:rPr>
          <w:pict>
            <v:shape id="_x0000_i1033" type="#_x0000_t75" alt="" title="&quot;В LinkedIn&quot;" style="width:10.5pt;height:10.5pt" o:button="t">
              <v:imagedata r:id="rId8" o:title=""/>
            </v:shape>
          </w:pict>
        </w:r>
      </w:hyperlink>
    </w:p>
    <w:p w:rsidR="00A2035F" w:rsidRPr="00A63DEB" w:rsidRDefault="00A2035F" w:rsidP="00536C8C">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sz w:val="32"/>
          <w:szCs w:val="24"/>
        </w:rPr>
        <w:t> </w:t>
      </w:r>
      <w:r w:rsidRPr="00A63DEB">
        <w:rPr>
          <w:rFonts w:ascii="Times New Roman" w:hAnsi="Times New Roman"/>
          <w:i/>
          <w:iCs/>
          <w:spacing w:val="-20"/>
          <w:sz w:val="24"/>
          <w:szCs w:val="24"/>
        </w:rPr>
        <w:t> </w:t>
      </w:r>
      <w:r w:rsidRPr="00A63DEB">
        <w:rPr>
          <w:rFonts w:ascii="Times New Roman" w:hAnsi="Times New Roman"/>
          <w:b/>
          <w:bCs/>
          <w:i/>
          <w:spacing w:val="-20"/>
          <w:kern w:val="36"/>
          <w:sz w:val="32"/>
          <w:szCs w:val="48"/>
        </w:rPr>
        <w:t>1. Інформація про Компанію.</w:t>
      </w:r>
    </w:p>
    <w:p w:rsidR="00A2035F" w:rsidRPr="00A63DEB" w:rsidRDefault="00A2035F" w:rsidP="007B5937">
      <w:pPr>
        <w:spacing w:before="100" w:beforeAutospacing="1" w:after="100" w:afterAutospacing="1" w:line="240" w:lineRule="auto"/>
        <w:rPr>
          <w:rFonts w:ascii="Times New Roman" w:hAnsi="Times New Roman"/>
          <w:spacing w:val="-20"/>
          <w:sz w:val="24"/>
          <w:szCs w:val="24"/>
        </w:rPr>
      </w:pPr>
    </w:p>
    <w:p w:rsidR="00A2035F" w:rsidRPr="00A63DEB" w:rsidRDefault="00A2035F" w:rsidP="001F7646">
      <w:pPr>
        <w:spacing w:before="100" w:beforeAutospacing="1" w:after="100" w:afterAutospacing="1" w:line="240" w:lineRule="auto"/>
        <w:rPr>
          <w:rFonts w:ascii="Times New Roman" w:hAnsi="Times New Roman"/>
          <w:bCs/>
          <w:spacing w:val="-20"/>
          <w:sz w:val="24"/>
          <w:szCs w:val="24"/>
        </w:rPr>
      </w:pPr>
      <w:r w:rsidRPr="00A63DEB">
        <w:rPr>
          <w:rFonts w:ascii="Times New Roman" w:hAnsi="Times New Roman"/>
          <w:bCs/>
          <w:spacing w:val="-20"/>
          <w:sz w:val="24"/>
          <w:szCs w:val="24"/>
        </w:rPr>
        <w:t>Публічне акціонерне товариство «Заваллівський графітовий комбінат» утворено шляхом зміни найменування  Відкритого акціонерного товариства  «Заваллівський графітовий комбінат» у відповідності до Закону України «Про акціонерні товариства».</w:t>
      </w:r>
    </w:p>
    <w:p w:rsidR="00A2035F" w:rsidRPr="00A63DEB" w:rsidRDefault="00A2035F" w:rsidP="001F7646">
      <w:pPr>
        <w:spacing w:before="100" w:beforeAutospacing="1" w:after="100" w:afterAutospacing="1" w:line="240" w:lineRule="auto"/>
        <w:rPr>
          <w:rFonts w:ascii="Times New Roman" w:hAnsi="Times New Roman"/>
          <w:bCs/>
          <w:spacing w:val="-20"/>
          <w:sz w:val="24"/>
          <w:szCs w:val="24"/>
        </w:rPr>
      </w:pPr>
      <w:r w:rsidRPr="00A63DEB">
        <w:rPr>
          <w:rFonts w:ascii="Times New Roman" w:hAnsi="Times New Roman"/>
          <w:bCs/>
          <w:spacing w:val="-20"/>
          <w:sz w:val="24"/>
          <w:szCs w:val="24"/>
        </w:rPr>
        <w:t>Відкрите акціонерне товариство «Заваллівський графітовий комбінат» було засноване відповідно до рішення концерну «Укрцемент» від 25 жовтня 1994 року №59/1-а, шляхом перетворення державного підприємства «Заваллівський графітовий комбінат» у відкрите акціонерне товариство відповідно до Указу Президента України №210/93 від 15 червня 1993 року «Про корпоратизацію державних підприємств».</w:t>
      </w:r>
    </w:p>
    <w:p w:rsidR="00A2035F" w:rsidRPr="00A63DEB" w:rsidRDefault="00A2035F" w:rsidP="001F7646">
      <w:pPr>
        <w:spacing w:before="100" w:beforeAutospacing="1" w:after="100" w:afterAutospacing="1" w:line="240" w:lineRule="auto"/>
        <w:rPr>
          <w:rFonts w:ascii="Times New Roman" w:hAnsi="Times New Roman"/>
          <w:bCs/>
          <w:spacing w:val="-20"/>
          <w:sz w:val="24"/>
          <w:szCs w:val="24"/>
        </w:rPr>
      </w:pPr>
      <w:r w:rsidRPr="00A63DEB">
        <w:rPr>
          <w:rFonts w:ascii="Times New Roman" w:hAnsi="Times New Roman"/>
          <w:bCs/>
          <w:spacing w:val="-20"/>
          <w:sz w:val="24"/>
          <w:szCs w:val="24"/>
        </w:rPr>
        <w:t>Дата первинної реєстрації Компанії – 26 жовтня 1994 року. Зареєстровано Гайворонською районною державною адміністрацією Кіровоградської області.</w:t>
      </w:r>
    </w:p>
    <w:p w:rsidR="00A2035F" w:rsidRPr="00A63DEB" w:rsidRDefault="00A2035F" w:rsidP="001F7646">
      <w:pPr>
        <w:spacing w:before="100" w:beforeAutospacing="1" w:after="100" w:afterAutospacing="1" w:line="240" w:lineRule="auto"/>
        <w:rPr>
          <w:rFonts w:ascii="Times New Roman" w:hAnsi="Times New Roman"/>
          <w:bCs/>
          <w:spacing w:val="-20"/>
          <w:sz w:val="24"/>
          <w:szCs w:val="24"/>
        </w:rPr>
      </w:pPr>
      <w:r w:rsidRPr="00A63DEB">
        <w:rPr>
          <w:rFonts w:ascii="Times New Roman" w:hAnsi="Times New Roman"/>
          <w:bCs/>
          <w:spacing w:val="-20"/>
          <w:sz w:val="24"/>
          <w:szCs w:val="24"/>
        </w:rPr>
        <w:t>Код ЄДРПОУ – 00282056.</w:t>
      </w:r>
    </w:p>
    <w:p w:rsidR="00A2035F" w:rsidRPr="00A63DEB" w:rsidRDefault="00A2035F" w:rsidP="001F7646">
      <w:pPr>
        <w:spacing w:before="100" w:beforeAutospacing="1" w:after="100" w:afterAutospacing="1" w:line="240" w:lineRule="auto"/>
        <w:rPr>
          <w:rFonts w:ascii="Times New Roman" w:hAnsi="Times New Roman"/>
          <w:bCs/>
          <w:spacing w:val="-20"/>
          <w:sz w:val="24"/>
          <w:szCs w:val="24"/>
        </w:rPr>
      </w:pPr>
      <w:r w:rsidRPr="00A63DEB">
        <w:rPr>
          <w:rFonts w:ascii="Times New Roman" w:hAnsi="Times New Roman"/>
          <w:bCs/>
          <w:spacing w:val="-20"/>
          <w:sz w:val="24"/>
          <w:szCs w:val="24"/>
        </w:rPr>
        <w:t>У своїй діяльності Публічне акціонерне товариство «Заваллівський графітовий комбінат» керується нормами чинного законодавства України, статутом товариства, внутрішніми нормативними актами.</w:t>
      </w:r>
    </w:p>
    <w:p w:rsidR="00A2035F" w:rsidRPr="00A63DEB" w:rsidRDefault="00A2035F" w:rsidP="001F764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Основною метою ПАТ «Заваллівський графітовий комбінат»  є здійснення підприємницької діяльності для одержання прибутку в інтересах акціонерів Компанії , покращення добробуту акціонерів у вигляді зростання ринкової вартості акцій Компанії,  отримання акціонерами дивідендів, а також задоволення потреб підприємств всіх форм власності та громадян в товарах та послугах  шляхом здійснення господарської діяльності.</w:t>
      </w:r>
    </w:p>
    <w:p w:rsidR="00A2035F" w:rsidRPr="00A63DEB" w:rsidRDefault="00A2035F" w:rsidP="001F764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є юридичною особою, має самостійний баланс, розрахунковий та інші рахунки в установах банків, печатки та штампи зі своїм повним найменуванням та символікою, фірмовий бланк та здійснює свою діяльність відповідно до норм чинного законодавства України.</w:t>
      </w:r>
    </w:p>
    <w:p w:rsidR="00A2035F" w:rsidRPr="00A63DEB" w:rsidRDefault="00A2035F" w:rsidP="001F764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Основним видом діяльності Компанії, згідно КВЕД,  є добування інших корисних копалин та розроблення кар’єрів, н.в.і.у. Основним видом продукції Компанії є графітова руда.</w:t>
      </w:r>
    </w:p>
    <w:p w:rsidR="00A2035F" w:rsidRPr="00A63DEB" w:rsidRDefault="00A2035F" w:rsidP="0013061E">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Власниками Компанії є  акціонери,  фізичні  та юридичні особи, що утримують 1143526  простих іменних акцій, номінальною вартістю 0,25 грн. кожна. </w:t>
      </w:r>
    </w:p>
    <w:p w:rsidR="00A2035F" w:rsidRPr="00A63DEB" w:rsidRDefault="00A2035F" w:rsidP="0013061E">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Юридична особа – Товариство з обмеженою відповідальністю «Графітінвест» м.Київ (код ЄДРПОУ – 31484711), утримує 902782 прості іменні акції, що складає  78,9472% статутного капіталу Компанії. </w:t>
      </w:r>
    </w:p>
    <w:p w:rsidR="00A2035F" w:rsidRPr="00A63DEB" w:rsidRDefault="00A2035F" w:rsidP="0013061E">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Перспективні плани розвитку Компанії полягають у збільшенні обсягів виробництва, залученні нових клієнтів, покращенні якості робіт. </w:t>
      </w:r>
    </w:p>
    <w:p w:rsidR="00A2035F" w:rsidRPr="00A63DEB" w:rsidRDefault="00A2035F" w:rsidP="0013061E">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w:t>
      </w:r>
    </w:p>
    <w:p w:rsidR="00A2035F" w:rsidRPr="00A63DEB" w:rsidRDefault="00A2035F" w:rsidP="00B1343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lastRenderedPageBreak/>
        <w:t>Компанія розташована за адресою: Кіровоградська область, Гайворонський район, смт.Завалля, вулиця Жовтнева, будинок 14.</w:t>
      </w:r>
    </w:p>
    <w:p w:rsidR="00A2035F" w:rsidRPr="00A63DEB" w:rsidRDefault="00A2035F" w:rsidP="0093538B">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bCs/>
          <w:spacing w:val="-20"/>
          <w:sz w:val="24"/>
          <w:szCs w:val="24"/>
        </w:rPr>
        <w:t xml:space="preserve">         </w:t>
      </w:r>
    </w:p>
    <w:p w:rsidR="00A2035F" w:rsidRPr="00A63DEB" w:rsidRDefault="00A2035F" w:rsidP="00536C8C">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2. Найбільш суттєві положення облікової політики.</w:t>
      </w:r>
    </w:p>
    <w:p w:rsidR="00A2035F" w:rsidRPr="00A63DEB" w:rsidRDefault="00A2035F" w:rsidP="002D5A63">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Основа подання інформації</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При підготовці та поданні інформації Компанія керується  МСБО 8 «Облікові політики, зміни в облікових оцінках та помилки», МСБО 1 «Подання фінансової звітності» та іншими МСФЗ та МСБО. Відповідно до вказаних  МСФЗ  та МСБО Компанія намагається забезпечити , щоб перша фінансова звітність Компанії, складена за МСФЗ, та її проміжна фінансова звітність за частину періоду, охопленого цією фінансовою звітністю, містили високоякісну інформацію.</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Істотні оцінки, думки та припущення Компанія  робить на основі  МСБО 8 «Облікові політики, зміни в облікових оцінках та помилки» та інших МСФЗ та МСБО.</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Повний комплект фінансової звітності Компанії включає:</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Звіт про фінансовий стан на кінець року.</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Звіт про сукупні доходи за період.</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Звіт про зміни у власному капіталі за період.</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Звіт про рух грошових коштів за період.</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Примітки , що містять стислий виклад суттєвих облікових політик та інші пояснення.</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Звіт про фінансовий стан на початок найбільш давнього порівняльного періоду, коли Компанія застосовує облікову політику ретроспективно або здійснює ретроспективний перерахунок статей своєї фінансової звітності, або коли вона пере класифікує статті своєї фінансової звітності.</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подає з однаковою значимістю всі фінансові звіти повного комплекту фінансової звітності.</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складає фінансову звітність на основі безперервності, тобто здатності продовжувати свою діяльність на безперервній основі.</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разі якщо Компанія буде мати намір ліквідуватися чи припинити діяльність або не буде реальної альтернативи таким заходам, то фінансова звітність не буде складена на основі припущення про безперервність і інформація про цей факт та причини його будуть розкриті в примітках до фінансової звітності.</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подає фінансову звітність (крім інформації про рух грошових коштів) за принципом нарахування.</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розкриває  порівняльну інформацію стосовно попереднього періоду щодо всіх сум, наведених у фінансовій звітності поточного періоду.</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встановлює суттєвість фінансової звітності на рівні 1% від підсумку звіту про фінансовий стан за період.</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Функціональною валютою і валютою представлення звітності Компанії є українська гривня.</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подає фінансову звітність в українській гривні округленій до тисячі.</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i/>
          <w:spacing w:val="-20"/>
          <w:sz w:val="24"/>
          <w:szCs w:val="24"/>
        </w:rPr>
        <w:lastRenderedPageBreak/>
        <w:t>Звіт про фінансовий стан</w:t>
      </w:r>
      <w:r w:rsidRPr="00A63DEB">
        <w:rPr>
          <w:rFonts w:ascii="Times New Roman" w:hAnsi="Times New Roman"/>
          <w:spacing w:val="-20"/>
          <w:sz w:val="24"/>
          <w:szCs w:val="24"/>
        </w:rPr>
        <w:t xml:space="preserve"> Компанії  включає статті , що подають такі суми: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Основні засоби;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Інвестиційна нерухомість;</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Нематеріальні активи;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Фінансові активи;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Інвестиції, обліковані із застосуванням методу участі в капіталі;</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Біологічні активи;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Запаси;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Торговельна та інша дебіторська заборгованість;</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Передоплати;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Аванси з податків та інших платежів, крім податку на прибуток;</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Грошові кошти та їх еквіваленти;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Загальна сума активів, класифікованих, як утримувані для продажу, та активи, включені у ліквідаційні групи, класифіковані, як утримувані для продажу, відповідно до МСФЗ 5 «Непоточні активи, утримувані для продажу, та припинена діяльність»;</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Торговельна та інша кредиторська заборгованість;</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Аванси отримані;</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Забезпечення;</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Процентні кредити за запозичення;</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Фінансові зобов`язання;</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Зобов’язання з виплат працівникам;</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Зобов`язання та активи , щодо поточного податку, як визначено в МСБО 12  «Податки на прибуток»;</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Податки та інші платежі до сплати, крім податку на прибуток;</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xml:space="preserve">Відстрочені податкові зобов`язання та відстрочені податкові активи, як визначено МСБО 12 «Податки на прибуток»; </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Зобов`язання , включені у ліквідаційні групи, класифіковані як утримувані для продажу, відповідно до МСФЗ 5 «Непоточні активи, утримувані для продажу, та припинена діяльність»;</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Неконтрольовані частки, представлені у власному капіталі;</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Випущений капітал і резерви, що відносяться до власників материнського підприємства.</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подає усі статті доходу та витрат, визнані за період, у звіті про сукупні доходи.</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i/>
          <w:spacing w:val="-20"/>
          <w:sz w:val="24"/>
          <w:szCs w:val="24"/>
        </w:rPr>
        <w:t>Звіт про сукупні доходи</w:t>
      </w:r>
      <w:r w:rsidRPr="00A63DEB">
        <w:rPr>
          <w:rFonts w:ascii="Times New Roman" w:hAnsi="Times New Roman"/>
          <w:spacing w:val="-20"/>
          <w:sz w:val="24"/>
          <w:szCs w:val="24"/>
        </w:rPr>
        <w:t xml:space="preserve"> Компанії повинен  включати  рядки , які подають такі суми за період:</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i/>
          <w:spacing w:val="-20"/>
          <w:sz w:val="24"/>
          <w:szCs w:val="24"/>
        </w:rPr>
        <w:t xml:space="preserve">- </w:t>
      </w:r>
      <w:r w:rsidRPr="00A63DEB">
        <w:rPr>
          <w:rFonts w:ascii="Times New Roman" w:hAnsi="Times New Roman"/>
          <w:spacing w:val="-20"/>
          <w:sz w:val="24"/>
          <w:szCs w:val="24"/>
        </w:rPr>
        <w:t>Дохід ;</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Прибутки та збитки, що виникають внаслідок припинення визнання фінансових активів, оцінених за амортизованою собівартістю;</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Фінансові витрати ;</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Частку прибутку або збитку асоційованих та спільних підприємств, що обліковується за методом участі в капіталі;</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Якщо фінансовий актив перекласифікований так, що він оцінюється за справедливою вартістю, будь-який прибуток або збиток, що виникає внаслідок різниці між попередньою балансовою вартістю та його справедливою вартістю на дату перекласифікації (як визначено в МСФЗ 9 );</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Податкові витрати;</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lastRenderedPageBreak/>
        <w:t>- Одна сума , що складається з підсумку прибутку або збитку від припинених видів діяльності після сплати податків та прибутку або збитку після сплати податків, визнаного після оцінки до справедливої вартості за вирахуванням витрат на продаж або після вибуття активів чи вибуття ліквідаційної групи, що становить припинену діяльність;</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Прибуток або збиток;</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Кожний компонент іншого сукупного прибутку, класифікований за своїм характером;</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Частку іншого сукупного прибутку асоційованих та спільних підприємств, що обліковується за методом участі в капіталі;</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 Загальний сукупний прибуток.</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розкриває у Звіті про сукупні доходи такі статті  :</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прибуток або збиток за період, що відноситься до неконтрольованих часток та власників материнської Компанії;</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загальний сукупний прибуток за період, що відноситься до неконтрольованих часток та власників материнської Компанії.</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подає аналіз витрат, визнаних у прибутку чи збитку, із застосуванням методу «функції витрат» згідно МСБО 1 «Подання фінансової звітності», вважаючи що таке подання є достовірним і більш доречним.</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Прибуток до оподаткування.</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Додатково Компанія, у відповідності до МСБО 1 «Подання фінансової звітності», розкриває інформацію про характер витрат.</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i/>
          <w:spacing w:val="-20"/>
          <w:sz w:val="24"/>
          <w:szCs w:val="24"/>
        </w:rPr>
        <w:t>Звіт про зміни у власному капіталі</w:t>
      </w:r>
      <w:r w:rsidRPr="00A63DEB">
        <w:rPr>
          <w:rFonts w:ascii="Times New Roman" w:hAnsi="Times New Roman"/>
          <w:spacing w:val="-20"/>
          <w:sz w:val="24"/>
          <w:szCs w:val="24"/>
        </w:rPr>
        <w:t xml:space="preserve">  Компанії включає таку інформацію:</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загальний сукупний прибуток за період, із зазначенням окремо загальних сум, що відносяться до власників материнського підприємства та до неконтрольованих часток ;</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для кожного компоненту власного капіталу впливи ретроспективного застосування або ретроспективного перерахунку,  визнаного відповідно до МСБО 8 ;</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для кожного компоненту власного капіталу, зіставлення вартості на початок та на кінець періоду, окремо розкриваючи зміни в результаті:</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а) прибутку чи збитку;</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б) іншого сукупного прибутку;</w:t>
      </w:r>
    </w:p>
    <w:p w:rsidR="00A2035F" w:rsidRPr="00A63DEB" w:rsidRDefault="00A2035F" w:rsidP="002D5A63">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 операцій з власниками, які діють згідно з їхніми повноваженнями власників, показуючи окремо внески власників та виплати власникам, а також зміни у частках власності у дочірніх підприємствах, які не спричинили втрату контролю.</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p>
    <w:p w:rsidR="00A2035F" w:rsidRPr="00A63DEB" w:rsidRDefault="00A2035F" w:rsidP="004F2FC7">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i/>
          <w:spacing w:val="-20"/>
          <w:sz w:val="24"/>
          <w:szCs w:val="24"/>
        </w:rPr>
        <w:lastRenderedPageBreak/>
        <w:t>Звіт  про рух грошових</w:t>
      </w:r>
      <w:r w:rsidRPr="00A63DEB">
        <w:rPr>
          <w:rFonts w:ascii="Times New Roman" w:hAnsi="Times New Roman"/>
          <w:spacing w:val="-20"/>
          <w:sz w:val="24"/>
          <w:szCs w:val="24"/>
        </w:rPr>
        <w:t xml:space="preserve"> коштів  Компанії , надає  інформацію,    яка   дає  користувачам     змогу   оцінювати зміни в чистих активах суб’єкта господарювання, його фінансовій         структурі (у тому числі ліквідність та платоспроможність), а також здатність впливати  на  суми  та  строки  грошових  потоків  з  метою  пристосування  до  змінюваних  обставин  та  можливостей. </w:t>
      </w:r>
    </w:p>
    <w:p w:rsidR="00A2035F" w:rsidRPr="00A63DEB" w:rsidRDefault="00A2035F" w:rsidP="002D5A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i/>
          <w:spacing w:val="-20"/>
          <w:sz w:val="24"/>
          <w:szCs w:val="24"/>
        </w:rPr>
        <w:t>У Примітках до фінансової звітності</w:t>
      </w:r>
      <w:r w:rsidRPr="00A63DEB">
        <w:rPr>
          <w:rFonts w:ascii="Times New Roman" w:hAnsi="Times New Roman"/>
          <w:spacing w:val="-20"/>
          <w:sz w:val="24"/>
          <w:szCs w:val="24"/>
        </w:rPr>
        <w:t xml:space="preserve"> Компанія розкриває:</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інформацію про основу складання фінансової звітності і про конкретні облікові політики;</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розкриває інформацію, що вимагається МСФЗ, яку не подано у фінансовій звітності;</w:t>
      </w:r>
    </w:p>
    <w:p w:rsidR="00A2035F" w:rsidRPr="00A63DEB" w:rsidRDefault="00A2035F" w:rsidP="002D5A63">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надає інформацію, яку не подано у фінансовій звітності, але яка є доречною для її розуміння.</w:t>
      </w:r>
    </w:p>
    <w:p w:rsidR="00A2035F" w:rsidRPr="00A63DEB" w:rsidRDefault="00A2035F" w:rsidP="00091365">
      <w:pPr>
        <w:pStyle w:val="2"/>
        <w:rPr>
          <w:i/>
          <w:spacing w:val="-20"/>
          <w:sz w:val="24"/>
        </w:rPr>
      </w:pPr>
      <w:r w:rsidRPr="00A63DEB">
        <w:rPr>
          <w:i/>
          <w:spacing w:val="-20"/>
          <w:sz w:val="24"/>
          <w:szCs w:val="24"/>
        </w:rPr>
        <w:t> </w:t>
      </w:r>
      <w:r w:rsidRPr="00A63DEB">
        <w:rPr>
          <w:i/>
          <w:spacing w:val="-20"/>
          <w:sz w:val="24"/>
        </w:rPr>
        <w:t xml:space="preserve"> Операційні сегменти.</w:t>
      </w:r>
    </w:p>
    <w:p w:rsidR="00A2035F" w:rsidRPr="00A63DEB" w:rsidRDefault="00A2035F" w:rsidP="00091365">
      <w:pPr>
        <w:pStyle w:val="2"/>
        <w:rPr>
          <w:b w:val="0"/>
          <w:spacing w:val="-20"/>
          <w:sz w:val="24"/>
        </w:rPr>
      </w:pPr>
      <w:r w:rsidRPr="00A63DEB">
        <w:rPr>
          <w:b w:val="0"/>
          <w:spacing w:val="-20"/>
          <w:sz w:val="24"/>
        </w:rPr>
        <w:t>Компанія розкриває та подає інформацію про операційні сегменти у відповідності до МСФЗ 8 «Операційні сегменти».</w:t>
      </w:r>
    </w:p>
    <w:p w:rsidR="00A2035F" w:rsidRPr="00A63DEB" w:rsidRDefault="00A2035F" w:rsidP="00091365">
      <w:pPr>
        <w:pStyle w:val="2"/>
        <w:rPr>
          <w:b w:val="0"/>
          <w:spacing w:val="-20"/>
          <w:sz w:val="24"/>
        </w:rPr>
      </w:pPr>
      <w:r w:rsidRPr="00A63DEB">
        <w:rPr>
          <w:b w:val="0"/>
          <w:spacing w:val="-20"/>
          <w:sz w:val="24"/>
        </w:rPr>
        <w:t>Компанія відображає в звітності окремо інформацію про операційний сегмент, який відповідає будь-якому з таких кількісних порогів:</w:t>
      </w:r>
    </w:p>
    <w:p w:rsidR="00A2035F" w:rsidRPr="00A63DEB" w:rsidRDefault="00A2035F" w:rsidP="00091365">
      <w:pPr>
        <w:pStyle w:val="2"/>
        <w:numPr>
          <w:ilvl w:val="0"/>
          <w:numId w:val="2"/>
        </w:numPr>
        <w:ind w:left="720"/>
        <w:rPr>
          <w:b w:val="0"/>
          <w:spacing w:val="-20"/>
          <w:sz w:val="24"/>
        </w:rPr>
      </w:pPr>
      <w:r w:rsidRPr="00A63DEB">
        <w:rPr>
          <w:b w:val="0"/>
          <w:spacing w:val="-20"/>
          <w:sz w:val="24"/>
        </w:rPr>
        <w:t>його відображений у звітності дохід, включаючи як продажі зовнішнім клієнтам, так і між сегментні продажі або трансфертні операції, становить 10% (або більше) сукупного (внутрішнього та зовнішнього доходу) всіх операційних сегментів;</w:t>
      </w:r>
    </w:p>
    <w:p w:rsidR="00A2035F" w:rsidRPr="00A63DEB" w:rsidRDefault="00A2035F" w:rsidP="00091365">
      <w:pPr>
        <w:pStyle w:val="2"/>
        <w:numPr>
          <w:ilvl w:val="0"/>
          <w:numId w:val="2"/>
        </w:numPr>
        <w:ind w:left="720"/>
        <w:rPr>
          <w:b w:val="0"/>
          <w:spacing w:val="-20"/>
          <w:sz w:val="24"/>
        </w:rPr>
      </w:pPr>
      <w:r w:rsidRPr="00A63DEB">
        <w:rPr>
          <w:b w:val="0"/>
          <w:spacing w:val="-20"/>
          <w:sz w:val="24"/>
        </w:rPr>
        <w:t>абсолютна величина відображеного в звітності прибутку або збитку становить 10% (або більше) більшої за абсолютною величиною суми:</w:t>
      </w:r>
    </w:p>
    <w:p w:rsidR="00A2035F" w:rsidRPr="00A63DEB" w:rsidRDefault="00A2035F" w:rsidP="00091365">
      <w:pPr>
        <w:pStyle w:val="2"/>
        <w:ind w:left="720"/>
        <w:rPr>
          <w:b w:val="0"/>
          <w:spacing w:val="-20"/>
          <w:sz w:val="24"/>
        </w:rPr>
      </w:pPr>
      <w:r w:rsidRPr="00A63DEB">
        <w:rPr>
          <w:b w:val="0"/>
          <w:spacing w:val="-20"/>
          <w:sz w:val="24"/>
        </w:rPr>
        <w:t>а) сукупного відображеного у звітності прибутку всіх операційних не збиткових сегментів</w:t>
      </w:r>
    </w:p>
    <w:p w:rsidR="00A2035F" w:rsidRPr="00A63DEB" w:rsidRDefault="00A2035F" w:rsidP="00091365">
      <w:pPr>
        <w:pStyle w:val="2"/>
        <w:ind w:left="720"/>
        <w:rPr>
          <w:b w:val="0"/>
          <w:spacing w:val="-20"/>
          <w:sz w:val="24"/>
        </w:rPr>
      </w:pPr>
      <w:r w:rsidRPr="00A63DEB">
        <w:rPr>
          <w:b w:val="0"/>
          <w:spacing w:val="-20"/>
          <w:sz w:val="24"/>
        </w:rPr>
        <w:t>б) сукупного відображеного у звітності збитку всіх операційних збиткових сегментів</w:t>
      </w:r>
    </w:p>
    <w:p w:rsidR="00A2035F" w:rsidRPr="00A63DEB" w:rsidRDefault="00A2035F" w:rsidP="00091365">
      <w:pPr>
        <w:pStyle w:val="2"/>
        <w:rPr>
          <w:b w:val="0"/>
          <w:spacing w:val="-20"/>
          <w:sz w:val="24"/>
        </w:rPr>
      </w:pPr>
      <w:r w:rsidRPr="00A63DEB">
        <w:rPr>
          <w:b w:val="0"/>
          <w:spacing w:val="-20"/>
          <w:sz w:val="24"/>
        </w:rPr>
        <w:t xml:space="preserve">      - його активи становлять 10% (або більше) сукупних активів усіх операційних сегментів.</w:t>
      </w:r>
    </w:p>
    <w:p w:rsidR="00A2035F" w:rsidRPr="00A63DEB" w:rsidRDefault="00A2035F" w:rsidP="00091365">
      <w:pPr>
        <w:pStyle w:val="2"/>
        <w:rPr>
          <w:b w:val="0"/>
          <w:spacing w:val="-20"/>
          <w:sz w:val="24"/>
        </w:rPr>
      </w:pPr>
      <w:r w:rsidRPr="00A63DEB">
        <w:rPr>
          <w:b w:val="0"/>
          <w:spacing w:val="-20"/>
          <w:sz w:val="24"/>
        </w:rPr>
        <w:t>Компанія визначає за 201</w:t>
      </w:r>
      <w:r w:rsidR="005231A0">
        <w:rPr>
          <w:b w:val="0"/>
          <w:spacing w:val="-20"/>
          <w:sz w:val="24"/>
        </w:rPr>
        <w:t>5</w:t>
      </w:r>
      <w:r w:rsidRPr="00A63DEB">
        <w:rPr>
          <w:b w:val="0"/>
          <w:spacing w:val="-20"/>
          <w:sz w:val="24"/>
        </w:rPr>
        <w:t xml:space="preserve"> рік один операційний сегмент – </w:t>
      </w:r>
      <w:r w:rsidRPr="00A63DEB">
        <w:rPr>
          <w:b w:val="0"/>
          <w:spacing w:val="-20"/>
          <w:sz w:val="24"/>
          <w:szCs w:val="24"/>
        </w:rPr>
        <w:t>добування інших корисних копалин та розроблення кар’єрів, н.в.і.у.</w:t>
      </w:r>
    </w:p>
    <w:p w:rsidR="00A2035F" w:rsidRPr="00A63DEB" w:rsidRDefault="00A2035F" w:rsidP="00091365">
      <w:pPr>
        <w:pStyle w:val="2"/>
        <w:rPr>
          <w:i/>
          <w:spacing w:val="-20"/>
          <w:sz w:val="24"/>
        </w:rPr>
      </w:pPr>
      <w:r w:rsidRPr="00A63DEB">
        <w:rPr>
          <w:i/>
          <w:spacing w:val="-20"/>
          <w:sz w:val="24"/>
          <w:szCs w:val="24"/>
        </w:rPr>
        <w:t> </w:t>
      </w:r>
      <w:r w:rsidRPr="00A63DEB">
        <w:rPr>
          <w:i/>
          <w:spacing w:val="-20"/>
          <w:sz w:val="24"/>
        </w:rPr>
        <w:t xml:space="preserve"> Основні засоби.</w:t>
      </w:r>
    </w:p>
    <w:p w:rsidR="00A2035F" w:rsidRPr="00A63DEB" w:rsidRDefault="00A2035F" w:rsidP="00091365">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Компанія обліковує основні засоби у відповідності до МСБО 16 «Основні засоби». </w:t>
      </w:r>
    </w:p>
    <w:p w:rsidR="00A2035F" w:rsidRPr="00A63DEB" w:rsidRDefault="00A2035F" w:rsidP="00091365">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основними засобами матеріальні об`єкти, що їх:</w:t>
      </w:r>
    </w:p>
    <w:p w:rsidR="00A2035F" w:rsidRPr="00A63DEB" w:rsidRDefault="00A2035F" w:rsidP="00091365">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утримують для використання у виробництві або постачанні товарів, чи наданні послуг для надання в оренду або для адміністративних цілей;</w:t>
      </w:r>
    </w:p>
    <w:p w:rsidR="00A2035F" w:rsidRPr="00A63DEB" w:rsidRDefault="00A2035F" w:rsidP="00091365">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використовують за очікуванням протягом більше одного року та грошовою вартістю більше 2500,00 грн.</w:t>
      </w:r>
      <w:r w:rsidR="005231A0">
        <w:rPr>
          <w:rFonts w:ascii="Times New Roman" w:hAnsi="Times New Roman"/>
          <w:spacing w:val="-20"/>
          <w:sz w:val="24"/>
          <w:szCs w:val="24"/>
        </w:rPr>
        <w:t>, з  01.09.2015 року – 6000,00 грн...</w:t>
      </w:r>
    </w:p>
    <w:p w:rsidR="00A2035F" w:rsidRPr="00A63DEB" w:rsidRDefault="00A2035F" w:rsidP="00091365">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Компанія, після визнання основного засобу активом,  обирає своєю обліковою політикою модель «собівартості» і обліковує основні засоби за собівартістю мінус будь-яка накопичена амортизація та будь-які накопичені збитки від зменшення корисності. </w:t>
      </w:r>
    </w:p>
    <w:p w:rsidR="00A2035F" w:rsidRPr="00A63DEB" w:rsidRDefault="00A2035F" w:rsidP="00091365">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встановлює ліквідаційну вартість основних засобів в сумі 0,1%  від собівартості основного засобу.</w:t>
      </w:r>
    </w:p>
    <w:p w:rsidR="00A2035F" w:rsidRPr="00A63DEB" w:rsidRDefault="00A2035F" w:rsidP="00091365">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lastRenderedPageBreak/>
        <w:t>Компанія встановлює такі групи основних засобів та строки корисної експлуатації:</w:t>
      </w:r>
    </w:p>
    <w:p w:rsidR="00A2035F" w:rsidRPr="00A63DEB" w:rsidRDefault="00A2035F" w:rsidP="00091365">
      <w:pPr>
        <w:pStyle w:val="HTML"/>
        <w:rPr>
          <w:spacing w:val="-20"/>
        </w:rPr>
      </w:pPr>
      <w:r w:rsidRPr="00A63DEB">
        <w:rPr>
          <w:spacing w:val="-20"/>
        </w:rPr>
        <w:t>------------------------------------------------------------------</w:t>
      </w:r>
    </w:p>
    <w:p w:rsidR="00A2035F" w:rsidRPr="00A63DEB" w:rsidRDefault="00A2035F" w:rsidP="00091365">
      <w:pPr>
        <w:pStyle w:val="HTML"/>
        <w:rPr>
          <w:spacing w:val="-20"/>
        </w:rPr>
      </w:pPr>
      <w:bookmarkStart w:id="0" w:name="o2444"/>
      <w:bookmarkEnd w:id="0"/>
      <w:r w:rsidRPr="00A63DEB">
        <w:rPr>
          <w:spacing w:val="-20"/>
        </w:rPr>
        <w:t>|              Групи             |           Строки              |</w:t>
      </w:r>
    </w:p>
    <w:p w:rsidR="00A2035F" w:rsidRPr="00A63DEB" w:rsidRDefault="00A2035F" w:rsidP="00091365">
      <w:pPr>
        <w:pStyle w:val="HTML"/>
        <w:rPr>
          <w:spacing w:val="-20"/>
        </w:rPr>
      </w:pPr>
      <w:bookmarkStart w:id="1" w:name="o2445"/>
      <w:bookmarkEnd w:id="1"/>
      <w:r w:rsidRPr="00A63DEB">
        <w:rPr>
          <w:spacing w:val="-20"/>
        </w:rPr>
        <w:t>|                                | корисної експлуатації         |</w:t>
      </w:r>
    </w:p>
    <w:p w:rsidR="00A2035F" w:rsidRPr="00A63DEB" w:rsidRDefault="00A2035F" w:rsidP="00091365">
      <w:pPr>
        <w:pStyle w:val="HTML"/>
        <w:rPr>
          <w:spacing w:val="-20"/>
        </w:rPr>
      </w:pPr>
      <w:bookmarkStart w:id="2" w:name="o2446"/>
      <w:bookmarkEnd w:id="2"/>
      <w:r w:rsidRPr="00A63DEB">
        <w:rPr>
          <w:spacing w:val="-20"/>
        </w:rPr>
        <w:t>|--------------------------------+-------------------------------|</w:t>
      </w:r>
    </w:p>
    <w:p w:rsidR="00A2035F" w:rsidRPr="00A63DEB" w:rsidRDefault="00A2035F" w:rsidP="00091365">
      <w:pPr>
        <w:pStyle w:val="HTML"/>
        <w:rPr>
          <w:spacing w:val="-20"/>
        </w:rPr>
      </w:pPr>
      <w:bookmarkStart w:id="3" w:name="o2447"/>
      <w:bookmarkEnd w:id="3"/>
      <w:r w:rsidRPr="00A63DEB">
        <w:rPr>
          <w:spacing w:val="-20"/>
        </w:rPr>
        <w:t>|група  1 - земельні ділянки     |               -               |</w:t>
      </w:r>
    </w:p>
    <w:p w:rsidR="00A2035F" w:rsidRPr="00A63DEB" w:rsidRDefault="00A2035F" w:rsidP="00091365">
      <w:pPr>
        <w:pStyle w:val="HTML"/>
        <w:rPr>
          <w:spacing w:val="-20"/>
        </w:rPr>
      </w:pPr>
      <w:bookmarkStart w:id="4" w:name="o2448"/>
      <w:bookmarkEnd w:id="4"/>
      <w:r w:rsidRPr="00A63DEB">
        <w:rPr>
          <w:spacing w:val="-20"/>
        </w:rPr>
        <w:t>|--------------------------------+-------------------------------|</w:t>
      </w:r>
    </w:p>
    <w:p w:rsidR="00A2035F" w:rsidRPr="00A63DEB" w:rsidRDefault="00A2035F" w:rsidP="00091365">
      <w:pPr>
        <w:pStyle w:val="HTML"/>
        <w:rPr>
          <w:spacing w:val="-20"/>
        </w:rPr>
      </w:pPr>
      <w:bookmarkStart w:id="5" w:name="o2449"/>
      <w:bookmarkEnd w:id="5"/>
      <w:r w:rsidRPr="00A63DEB">
        <w:rPr>
          <w:spacing w:val="-20"/>
        </w:rPr>
        <w:t>|група 2 - капітальні витрати на |              15               |</w:t>
      </w:r>
    </w:p>
    <w:p w:rsidR="00A2035F" w:rsidRPr="00A63DEB" w:rsidRDefault="00A2035F" w:rsidP="00091365">
      <w:pPr>
        <w:pStyle w:val="HTML"/>
        <w:rPr>
          <w:spacing w:val="-20"/>
        </w:rPr>
      </w:pPr>
      <w:bookmarkStart w:id="6" w:name="o2450"/>
      <w:bookmarkEnd w:id="6"/>
      <w:r w:rsidRPr="00A63DEB">
        <w:rPr>
          <w:spacing w:val="-20"/>
        </w:rPr>
        <w:t>|поліпшення земель, не пов'язані |                               |</w:t>
      </w:r>
    </w:p>
    <w:p w:rsidR="00A2035F" w:rsidRPr="00A63DEB" w:rsidRDefault="00A2035F" w:rsidP="00091365">
      <w:pPr>
        <w:pStyle w:val="HTML"/>
        <w:rPr>
          <w:spacing w:val="-20"/>
        </w:rPr>
      </w:pPr>
      <w:bookmarkStart w:id="7" w:name="o2451"/>
      <w:bookmarkEnd w:id="7"/>
      <w:r w:rsidRPr="00A63DEB">
        <w:rPr>
          <w:spacing w:val="-20"/>
        </w:rPr>
        <w:t>|з будівництвом                  |                               |</w:t>
      </w:r>
    </w:p>
    <w:p w:rsidR="00A2035F" w:rsidRPr="00A63DEB" w:rsidRDefault="00A2035F" w:rsidP="00091365">
      <w:pPr>
        <w:pStyle w:val="HTML"/>
        <w:rPr>
          <w:spacing w:val="-20"/>
        </w:rPr>
      </w:pPr>
      <w:bookmarkStart w:id="8" w:name="o2452"/>
      <w:bookmarkEnd w:id="8"/>
      <w:r w:rsidRPr="00A63DEB">
        <w:rPr>
          <w:spacing w:val="-20"/>
        </w:rPr>
        <w:t>|--------------------------------+-------------------------------|</w:t>
      </w:r>
    </w:p>
    <w:p w:rsidR="00A2035F" w:rsidRPr="00A63DEB" w:rsidRDefault="00A2035F" w:rsidP="00091365">
      <w:pPr>
        <w:pStyle w:val="HTML"/>
        <w:rPr>
          <w:spacing w:val="-20"/>
        </w:rPr>
      </w:pPr>
      <w:bookmarkStart w:id="9" w:name="o2453"/>
      <w:bookmarkEnd w:id="9"/>
      <w:r w:rsidRPr="00A63DEB">
        <w:rPr>
          <w:spacing w:val="-20"/>
        </w:rPr>
        <w:t>|група 3 - будівлі,              |              20               |</w:t>
      </w:r>
    </w:p>
    <w:p w:rsidR="00A2035F" w:rsidRPr="00A63DEB" w:rsidRDefault="00A2035F" w:rsidP="00091365">
      <w:pPr>
        <w:pStyle w:val="HTML"/>
        <w:rPr>
          <w:spacing w:val="-20"/>
        </w:rPr>
      </w:pPr>
      <w:bookmarkStart w:id="10" w:name="o2454"/>
      <w:bookmarkEnd w:id="10"/>
      <w:r w:rsidRPr="00A63DEB">
        <w:rPr>
          <w:spacing w:val="-20"/>
        </w:rPr>
        <w:t>|--------------------------------+-------------------------------|</w:t>
      </w:r>
    </w:p>
    <w:p w:rsidR="00A2035F" w:rsidRPr="00A63DEB" w:rsidRDefault="00A2035F" w:rsidP="00091365">
      <w:pPr>
        <w:pStyle w:val="HTML"/>
        <w:rPr>
          <w:spacing w:val="-20"/>
        </w:rPr>
      </w:pPr>
      <w:bookmarkStart w:id="11" w:name="o2455"/>
      <w:bookmarkEnd w:id="11"/>
      <w:r w:rsidRPr="00A63DEB">
        <w:rPr>
          <w:spacing w:val="-20"/>
        </w:rPr>
        <w:t>|споруди,                        |              15               |</w:t>
      </w:r>
    </w:p>
    <w:p w:rsidR="00A2035F" w:rsidRPr="00A63DEB" w:rsidRDefault="00A2035F" w:rsidP="00091365">
      <w:pPr>
        <w:pStyle w:val="HTML"/>
        <w:rPr>
          <w:spacing w:val="-20"/>
        </w:rPr>
      </w:pPr>
      <w:bookmarkStart w:id="12" w:name="o2456"/>
      <w:bookmarkEnd w:id="12"/>
      <w:r w:rsidRPr="00A63DEB">
        <w:rPr>
          <w:spacing w:val="-20"/>
        </w:rPr>
        <w:t>|--------------------------------+-------------------------------|</w:t>
      </w:r>
    </w:p>
    <w:p w:rsidR="00A2035F" w:rsidRPr="00A63DEB" w:rsidRDefault="00A2035F" w:rsidP="00091365">
      <w:pPr>
        <w:pStyle w:val="HTML"/>
        <w:rPr>
          <w:spacing w:val="-20"/>
        </w:rPr>
      </w:pPr>
      <w:bookmarkStart w:id="13" w:name="o2457"/>
      <w:bookmarkEnd w:id="13"/>
      <w:r w:rsidRPr="00A63DEB">
        <w:rPr>
          <w:spacing w:val="-20"/>
        </w:rPr>
        <w:t>|передавальні пристрої           |              10               |</w:t>
      </w:r>
    </w:p>
    <w:p w:rsidR="00A2035F" w:rsidRPr="00A63DEB" w:rsidRDefault="00A2035F" w:rsidP="00091365">
      <w:pPr>
        <w:pStyle w:val="HTML"/>
        <w:rPr>
          <w:spacing w:val="-20"/>
        </w:rPr>
      </w:pPr>
      <w:bookmarkStart w:id="14" w:name="o2458"/>
      <w:bookmarkEnd w:id="14"/>
      <w:r w:rsidRPr="00A63DEB">
        <w:rPr>
          <w:spacing w:val="-20"/>
        </w:rPr>
        <w:t>|--------------------------------+-------------------------------|</w:t>
      </w:r>
    </w:p>
    <w:p w:rsidR="00A2035F" w:rsidRPr="00A63DEB" w:rsidRDefault="00A2035F" w:rsidP="00091365">
      <w:pPr>
        <w:pStyle w:val="HTML"/>
        <w:rPr>
          <w:spacing w:val="-20"/>
        </w:rPr>
      </w:pPr>
      <w:bookmarkStart w:id="15" w:name="o2459"/>
      <w:bookmarkEnd w:id="15"/>
      <w:r w:rsidRPr="00A63DEB">
        <w:rPr>
          <w:spacing w:val="-20"/>
        </w:rPr>
        <w:t>|група 4 - машини та обладнання  |               5               |</w:t>
      </w:r>
    </w:p>
    <w:p w:rsidR="00A2035F" w:rsidRPr="00A63DEB" w:rsidRDefault="00A2035F" w:rsidP="00091365">
      <w:pPr>
        <w:pStyle w:val="HTML"/>
        <w:rPr>
          <w:spacing w:val="-20"/>
        </w:rPr>
      </w:pPr>
      <w:bookmarkStart w:id="16" w:name="o2460"/>
      <w:bookmarkEnd w:id="16"/>
      <w:r w:rsidRPr="00A63DEB">
        <w:rPr>
          <w:spacing w:val="-20"/>
        </w:rPr>
        <w:t>|--------------------------------+-------------------------------|</w:t>
      </w:r>
    </w:p>
    <w:p w:rsidR="00A2035F" w:rsidRPr="00A63DEB" w:rsidRDefault="00A2035F" w:rsidP="00091365">
      <w:pPr>
        <w:pStyle w:val="HTML"/>
        <w:rPr>
          <w:spacing w:val="-20"/>
        </w:rPr>
      </w:pPr>
      <w:bookmarkStart w:id="17" w:name="o2461"/>
      <w:bookmarkEnd w:id="17"/>
      <w:r w:rsidRPr="00A63DEB">
        <w:rPr>
          <w:spacing w:val="-20"/>
        </w:rPr>
        <w:t>|з них:                          |                               |</w:t>
      </w:r>
    </w:p>
    <w:p w:rsidR="00A2035F" w:rsidRPr="00A63DEB" w:rsidRDefault="00A2035F" w:rsidP="00091365">
      <w:pPr>
        <w:pStyle w:val="HTML"/>
        <w:rPr>
          <w:spacing w:val="-20"/>
        </w:rPr>
      </w:pPr>
      <w:bookmarkStart w:id="18" w:name="o2462"/>
      <w:bookmarkEnd w:id="18"/>
      <w:r w:rsidRPr="00A63DEB">
        <w:rPr>
          <w:spacing w:val="-20"/>
        </w:rPr>
        <w:t>|--------------------------------+-------------------------------|</w:t>
      </w:r>
    </w:p>
    <w:p w:rsidR="00A2035F" w:rsidRPr="00A63DEB" w:rsidRDefault="00A2035F" w:rsidP="00091365">
      <w:pPr>
        <w:pStyle w:val="HTML"/>
        <w:rPr>
          <w:spacing w:val="-20"/>
        </w:rPr>
      </w:pPr>
      <w:bookmarkStart w:id="19" w:name="o2463"/>
      <w:bookmarkEnd w:id="19"/>
      <w:r w:rsidRPr="00A63DEB">
        <w:rPr>
          <w:spacing w:val="-20"/>
        </w:rPr>
        <w:t>|електронно-обчислювальні машини,|               2               |</w:t>
      </w:r>
    </w:p>
    <w:p w:rsidR="00A2035F" w:rsidRPr="00A63DEB" w:rsidRDefault="00A2035F" w:rsidP="00091365">
      <w:pPr>
        <w:pStyle w:val="HTML"/>
        <w:rPr>
          <w:spacing w:val="-20"/>
        </w:rPr>
      </w:pPr>
      <w:bookmarkStart w:id="20" w:name="o2464"/>
      <w:bookmarkEnd w:id="20"/>
      <w:r w:rsidRPr="00A63DEB">
        <w:rPr>
          <w:spacing w:val="-20"/>
        </w:rPr>
        <w:t>|інші машини для автоматичного   |                               |</w:t>
      </w:r>
    </w:p>
    <w:p w:rsidR="00A2035F" w:rsidRPr="00A63DEB" w:rsidRDefault="00A2035F" w:rsidP="00091365">
      <w:pPr>
        <w:pStyle w:val="HTML"/>
        <w:rPr>
          <w:spacing w:val="-20"/>
        </w:rPr>
      </w:pPr>
      <w:bookmarkStart w:id="21" w:name="o2465"/>
      <w:bookmarkEnd w:id="21"/>
      <w:r w:rsidRPr="00A63DEB">
        <w:rPr>
          <w:spacing w:val="-20"/>
        </w:rPr>
        <w:t>|оброблення інформації, пов'язані|                               |</w:t>
      </w:r>
    </w:p>
    <w:p w:rsidR="00A2035F" w:rsidRPr="00A63DEB" w:rsidRDefault="00A2035F" w:rsidP="00091365">
      <w:pPr>
        <w:pStyle w:val="HTML"/>
        <w:rPr>
          <w:spacing w:val="-20"/>
        </w:rPr>
      </w:pPr>
      <w:bookmarkStart w:id="22" w:name="o2466"/>
      <w:bookmarkEnd w:id="22"/>
      <w:r w:rsidRPr="00A63DEB">
        <w:rPr>
          <w:spacing w:val="-20"/>
        </w:rPr>
        <w:t>|з ними засоби зчитування або    |                               |</w:t>
      </w:r>
    </w:p>
    <w:p w:rsidR="00A2035F" w:rsidRPr="00A63DEB" w:rsidRDefault="00A2035F" w:rsidP="00091365">
      <w:pPr>
        <w:pStyle w:val="HTML"/>
        <w:rPr>
          <w:spacing w:val="-20"/>
        </w:rPr>
      </w:pPr>
      <w:bookmarkStart w:id="23" w:name="o2467"/>
      <w:bookmarkEnd w:id="23"/>
      <w:r w:rsidRPr="00A63DEB">
        <w:rPr>
          <w:spacing w:val="-20"/>
        </w:rPr>
        <w:t>|друку інформації, пов'язані з   |                               |</w:t>
      </w:r>
    </w:p>
    <w:p w:rsidR="00A2035F" w:rsidRPr="00A63DEB" w:rsidRDefault="00A2035F" w:rsidP="00091365">
      <w:pPr>
        <w:pStyle w:val="HTML"/>
        <w:rPr>
          <w:spacing w:val="-20"/>
        </w:rPr>
      </w:pPr>
      <w:bookmarkStart w:id="24" w:name="o2468"/>
      <w:bookmarkEnd w:id="24"/>
      <w:r w:rsidRPr="00A63DEB">
        <w:rPr>
          <w:spacing w:val="-20"/>
        </w:rPr>
        <w:t>|ними комп'ютерні програми (крім |                               |</w:t>
      </w:r>
    </w:p>
    <w:p w:rsidR="00A2035F" w:rsidRPr="00A63DEB" w:rsidRDefault="00A2035F" w:rsidP="00091365">
      <w:pPr>
        <w:pStyle w:val="HTML"/>
        <w:rPr>
          <w:spacing w:val="-20"/>
        </w:rPr>
      </w:pPr>
      <w:bookmarkStart w:id="25" w:name="o2469"/>
      <w:bookmarkEnd w:id="25"/>
      <w:r w:rsidRPr="00A63DEB">
        <w:rPr>
          <w:spacing w:val="-20"/>
        </w:rPr>
        <w:t>|програм, витрати на придбання   |                               |</w:t>
      </w:r>
    </w:p>
    <w:p w:rsidR="00A2035F" w:rsidRPr="00A63DEB" w:rsidRDefault="00A2035F" w:rsidP="00091365">
      <w:pPr>
        <w:pStyle w:val="HTML"/>
        <w:rPr>
          <w:spacing w:val="-20"/>
        </w:rPr>
      </w:pPr>
      <w:bookmarkStart w:id="26" w:name="o2470"/>
      <w:bookmarkEnd w:id="26"/>
      <w:r w:rsidRPr="00A63DEB">
        <w:rPr>
          <w:spacing w:val="-20"/>
        </w:rPr>
        <w:t>|яких визнаються роялті, та/або  |                               |</w:t>
      </w:r>
    </w:p>
    <w:p w:rsidR="00A2035F" w:rsidRPr="00A63DEB" w:rsidRDefault="00A2035F" w:rsidP="00091365">
      <w:pPr>
        <w:pStyle w:val="HTML"/>
        <w:rPr>
          <w:spacing w:val="-20"/>
        </w:rPr>
      </w:pPr>
      <w:bookmarkStart w:id="27" w:name="o2471"/>
      <w:bookmarkEnd w:id="27"/>
      <w:r w:rsidRPr="00A63DEB">
        <w:rPr>
          <w:spacing w:val="-20"/>
        </w:rPr>
        <w:t>|програм, які визнаються         |                               |</w:t>
      </w:r>
    </w:p>
    <w:p w:rsidR="00A2035F" w:rsidRPr="00A63DEB" w:rsidRDefault="00A2035F" w:rsidP="00091365">
      <w:pPr>
        <w:pStyle w:val="HTML"/>
        <w:rPr>
          <w:spacing w:val="-20"/>
        </w:rPr>
      </w:pPr>
      <w:bookmarkStart w:id="28" w:name="o2472"/>
      <w:bookmarkEnd w:id="28"/>
      <w:r w:rsidRPr="00A63DEB">
        <w:rPr>
          <w:spacing w:val="-20"/>
        </w:rPr>
        <w:t>|нематеріальним активом), інші   |                               |</w:t>
      </w:r>
    </w:p>
    <w:p w:rsidR="00A2035F" w:rsidRPr="00A63DEB" w:rsidRDefault="00A2035F" w:rsidP="00091365">
      <w:pPr>
        <w:pStyle w:val="HTML"/>
        <w:rPr>
          <w:spacing w:val="-20"/>
        </w:rPr>
      </w:pPr>
      <w:bookmarkStart w:id="29" w:name="o2473"/>
      <w:bookmarkEnd w:id="29"/>
      <w:r w:rsidRPr="00A63DEB">
        <w:rPr>
          <w:spacing w:val="-20"/>
        </w:rPr>
        <w:t>|інформаційні системи,           |                               |</w:t>
      </w:r>
    </w:p>
    <w:p w:rsidR="00A2035F" w:rsidRPr="00A63DEB" w:rsidRDefault="00A2035F" w:rsidP="00091365">
      <w:pPr>
        <w:pStyle w:val="HTML"/>
        <w:rPr>
          <w:spacing w:val="-20"/>
        </w:rPr>
      </w:pPr>
      <w:bookmarkStart w:id="30" w:name="o2474"/>
      <w:bookmarkEnd w:id="30"/>
      <w:r w:rsidRPr="00A63DEB">
        <w:rPr>
          <w:spacing w:val="-20"/>
        </w:rPr>
        <w:t>|комутатори, маршрутизатори,     |                               |</w:t>
      </w:r>
    </w:p>
    <w:p w:rsidR="00A2035F" w:rsidRPr="00A63DEB" w:rsidRDefault="00A2035F" w:rsidP="00091365">
      <w:pPr>
        <w:pStyle w:val="HTML"/>
        <w:rPr>
          <w:spacing w:val="-20"/>
        </w:rPr>
      </w:pPr>
      <w:bookmarkStart w:id="31" w:name="o2475"/>
      <w:bookmarkEnd w:id="31"/>
      <w:r w:rsidRPr="00A63DEB">
        <w:rPr>
          <w:spacing w:val="-20"/>
        </w:rPr>
        <w:t>|модулі, модеми, джерела         |                               |</w:t>
      </w:r>
    </w:p>
    <w:p w:rsidR="00A2035F" w:rsidRPr="00A63DEB" w:rsidRDefault="00A2035F" w:rsidP="00091365">
      <w:pPr>
        <w:pStyle w:val="HTML"/>
        <w:rPr>
          <w:spacing w:val="-20"/>
        </w:rPr>
      </w:pPr>
      <w:bookmarkStart w:id="32" w:name="o2476"/>
      <w:bookmarkEnd w:id="32"/>
      <w:r w:rsidRPr="00A63DEB">
        <w:rPr>
          <w:spacing w:val="-20"/>
        </w:rPr>
        <w:t>|безперебійного живлення та      |                               |</w:t>
      </w:r>
    </w:p>
    <w:p w:rsidR="00A2035F" w:rsidRPr="00A63DEB" w:rsidRDefault="00A2035F" w:rsidP="00091365">
      <w:pPr>
        <w:pStyle w:val="HTML"/>
        <w:rPr>
          <w:spacing w:val="-20"/>
        </w:rPr>
      </w:pPr>
      <w:bookmarkStart w:id="33" w:name="o2477"/>
      <w:bookmarkEnd w:id="33"/>
      <w:r w:rsidRPr="00A63DEB">
        <w:rPr>
          <w:spacing w:val="-20"/>
        </w:rPr>
        <w:t>|засоби їх підключення до        |                               |</w:t>
      </w:r>
    </w:p>
    <w:p w:rsidR="00A2035F" w:rsidRPr="00A63DEB" w:rsidRDefault="00A2035F" w:rsidP="00091365">
      <w:pPr>
        <w:pStyle w:val="HTML"/>
        <w:rPr>
          <w:spacing w:val="-20"/>
        </w:rPr>
      </w:pPr>
      <w:bookmarkStart w:id="34" w:name="o2478"/>
      <w:bookmarkEnd w:id="34"/>
      <w:r w:rsidRPr="00A63DEB">
        <w:rPr>
          <w:spacing w:val="-20"/>
        </w:rPr>
        <w:t>|телекомунікаційних мереж,       |                               |</w:t>
      </w:r>
    </w:p>
    <w:p w:rsidR="00A2035F" w:rsidRPr="00A63DEB" w:rsidRDefault="00A2035F" w:rsidP="00091365">
      <w:pPr>
        <w:pStyle w:val="HTML"/>
        <w:rPr>
          <w:spacing w:val="-20"/>
        </w:rPr>
      </w:pPr>
      <w:bookmarkStart w:id="35" w:name="o2479"/>
      <w:bookmarkEnd w:id="35"/>
      <w:r w:rsidRPr="00A63DEB">
        <w:rPr>
          <w:spacing w:val="-20"/>
        </w:rPr>
        <w:t>|телефони (в тому числі          |                               |</w:t>
      </w:r>
    </w:p>
    <w:p w:rsidR="00A2035F" w:rsidRPr="00A63DEB" w:rsidRDefault="00A2035F" w:rsidP="00091365">
      <w:pPr>
        <w:pStyle w:val="HTML"/>
        <w:rPr>
          <w:spacing w:val="-20"/>
        </w:rPr>
      </w:pPr>
      <w:bookmarkStart w:id="36" w:name="o2480"/>
      <w:bookmarkEnd w:id="36"/>
      <w:r w:rsidRPr="00A63DEB">
        <w:rPr>
          <w:spacing w:val="-20"/>
        </w:rPr>
        <w:t>|стільникові), мікрофони і рації,|                               |</w:t>
      </w:r>
    </w:p>
    <w:p w:rsidR="00A2035F" w:rsidRPr="00A63DEB" w:rsidRDefault="00A2035F" w:rsidP="00091365">
      <w:pPr>
        <w:pStyle w:val="HTML"/>
        <w:rPr>
          <w:spacing w:val="-20"/>
        </w:rPr>
      </w:pPr>
      <w:bookmarkStart w:id="37" w:name="o2481"/>
      <w:bookmarkEnd w:id="37"/>
      <w:r w:rsidRPr="00A63DEB">
        <w:rPr>
          <w:spacing w:val="-20"/>
        </w:rPr>
        <w:t>|вартість яких перевищує 2500    |                               |</w:t>
      </w:r>
    </w:p>
    <w:p w:rsidR="00A2035F" w:rsidRPr="00A63DEB" w:rsidRDefault="00A2035F" w:rsidP="00091365">
      <w:pPr>
        <w:pStyle w:val="HTML"/>
        <w:rPr>
          <w:spacing w:val="-20"/>
        </w:rPr>
      </w:pPr>
      <w:bookmarkStart w:id="38" w:name="o2482"/>
      <w:bookmarkEnd w:id="38"/>
      <w:r w:rsidRPr="00A63DEB">
        <w:rPr>
          <w:spacing w:val="-20"/>
        </w:rPr>
        <w:t>|гривень                         |                               |</w:t>
      </w:r>
    </w:p>
    <w:p w:rsidR="00A2035F" w:rsidRPr="00A63DEB" w:rsidRDefault="00A2035F" w:rsidP="00091365">
      <w:pPr>
        <w:pStyle w:val="HTML"/>
        <w:rPr>
          <w:spacing w:val="-20"/>
        </w:rPr>
      </w:pPr>
      <w:bookmarkStart w:id="39" w:name="o2483"/>
      <w:bookmarkEnd w:id="39"/>
      <w:r w:rsidRPr="00A63DEB">
        <w:rPr>
          <w:spacing w:val="-20"/>
        </w:rPr>
        <w:t>|--------------------------------+-------------------------------|</w:t>
      </w:r>
    </w:p>
    <w:p w:rsidR="00A2035F" w:rsidRPr="00A63DEB" w:rsidRDefault="00A2035F" w:rsidP="00091365">
      <w:pPr>
        <w:pStyle w:val="HTML"/>
        <w:rPr>
          <w:spacing w:val="-20"/>
        </w:rPr>
      </w:pPr>
      <w:bookmarkStart w:id="40" w:name="o2484"/>
      <w:bookmarkEnd w:id="40"/>
      <w:r w:rsidRPr="00A63DEB">
        <w:rPr>
          <w:spacing w:val="-20"/>
        </w:rPr>
        <w:t>|група 5 - транспортні засоби    |               5               |</w:t>
      </w:r>
    </w:p>
    <w:p w:rsidR="00A2035F" w:rsidRPr="00A63DEB" w:rsidRDefault="00A2035F" w:rsidP="00091365">
      <w:pPr>
        <w:pStyle w:val="HTML"/>
        <w:rPr>
          <w:spacing w:val="-20"/>
        </w:rPr>
      </w:pPr>
      <w:bookmarkStart w:id="41" w:name="o2485"/>
      <w:bookmarkEnd w:id="41"/>
      <w:r w:rsidRPr="00A63DEB">
        <w:rPr>
          <w:spacing w:val="-20"/>
        </w:rPr>
        <w:t>|--------------------------------+-------------------------------|</w:t>
      </w:r>
    </w:p>
    <w:p w:rsidR="00A2035F" w:rsidRPr="00A63DEB" w:rsidRDefault="00A2035F" w:rsidP="00091365">
      <w:pPr>
        <w:pStyle w:val="HTML"/>
        <w:rPr>
          <w:spacing w:val="-20"/>
        </w:rPr>
      </w:pPr>
      <w:bookmarkStart w:id="42" w:name="o2486"/>
      <w:bookmarkEnd w:id="42"/>
      <w:r w:rsidRPr="00A63DEB">
        <w:rPr>
          <w:spacing w:val="-20"/>
        </w:rPr>
        <w:t>|група 6 - інструменти, прилади, |               4               |</w:t>
      </w:r>
    </w:p>
    <w:p w:rsidR="00A2035F" w:rsidRPr="00A63DEB" w:rsidRDefault="00A2035F" w:rsidP="00091365">
      <w:pPr>
        <w:pStyle w:val="HTML"/>
        <w:rPr>
          <w:spacing w:val="-20"/>
        </w:rPr>
      </w:pPr>
      <w:bookmarkStart w:id="43" w:name="o2487"/>
      <w:bookmarkEnd w:id="43"/>
      <w:r w:rsidRPr="00A63DEB">
        <w:rPr>
          <w:spacing w:val="-20"/>
        </w:rPr>
        <w:t>|інвентар (меблі)                |                               |</w:t>
      </w:r>
    </w:p>
    <w:p w:rsidR="00A2035F" w:rsidRPr="00A63DEB" w:rsidRDefault="00A2035F" w:rsidP="00091365">
      <w:pPr>
        <w:pStyle w:val="HTML"/>
        <w:rPr>
          <w:spacing w:val="-20"/>
        </w:rPr>
      </w:pPr>
      <w:bookmarkStart w:id="44" w:name="o2488"/>
      <w:bookmarkEnd w:id="44"/>
      <w:r w:rsidRPr="00A63DEB">
        <w:rPr>
          <w:spacing w:val="-20"/>
        </w:rPr>
        <w:t>|--------------------------------+-------------------------------|</w:t>
      </w:r>
    </w:p>
    <w:p w:rsidR="00A2035F" w:rsidRPr="00A63DEB" w:rsidRDefault="00A2035F" w:rsidP="00091365">
      <w:pPr>
        <w:pStyle w:val="HTML"/>
        <w:rPr>
          <w:spacing w:val="-20"/>
        </w:rPr>
      </w:pPr>
      <w:bookmarkStart w:id="45" w:name="o2489"/>
      <w:bookmarkEnd w:id="45"/>
      <w:r w:rsidRPr="00A63DEB">
        <w:rPr>
          <w:spacing w:val="-20"/>
        </w:rPr>
        <w:t>|група 7 - тварини               |               6               |</w:t>
      </w:r>
    </w:p>
    <w:p w:rsidR="00A2035F" w:rsidRPr="00A63DEB" w:rsidRDefault="00A2035F" w:rsidP="00091365">
      <w:pPr>
        <w:pStyle w:val="HTML"/>
        <w:rPr>
          <w:spacing w:val="-20"/>
        </w:rPr>
      </w:pPr>
      <w:bookmarkStart w:id="46" w:name="o2490"/>
      <w:bookmarkEnd w:id="46"/>
      <w:r w:rsidRPr="00A63DEB">
        <w:rPr>
          <w:spacing w:val="-20"/>
        </w:rPr>
        <w:t>|--------------------------------+-------------------------------|</w:t>
      </w:r>
    </w:p>
    <w:p w:rsidR="00A2035F" w:rsidRPr="00A63DEB" w:rsidRDefault="00A2035F" w:rsidP="00091365">
      <w:pPr>
        <w:pStyle w:val="HTML"/>
        <w:rPr>
          <w:spacing w:val="-20"/>
        </w:rPr>
      </w:pPr>
      <w:bookmarkStart w:id="47" w:name="o2491"/>
      <w:bookmarkEnd w:id="47"/>
      <w:r w:rsidRPr="00A63DEB">
        <w:rPr>
          <w:spacing w:val="-20"/>
        </w:rPr>
        <w:t>|група 8 - багаторічні насадження|              10               |</w:t>
      </w:r>
    </w:p>
    <w:p w:rsidR="00A2035F" w:rsidRPr="00A63DEB" w:rsidRDefault="00A2035F" w:rsidP="00091365">
      <w:pPr>
        <w:pStyle w:val="HTML"/>
        <w:rPr>
          <w:spacing w:val="-20"/>
        </w:rPr>
      </w:pPr>
      <w:bookmarkStart w:id="48" w:name="o2492"/>
      <w:bookmarkEnd w:id="48"/>
      <w:r w:rsidRPr="00A63DEB">
        <w:rPr>
          <w:spacing w:val="-20"/>
        </w:rPr>
        <w:t>|--------------------------------+-------------------------------|</w:t>
      </w:r>
    </w:p>
    <w:p w:rsidR="00A2035F" w:rsidRPr="00A63DEB" w:rsidRDefault="00A2035F" w:rsidP="00091365">
      <w:pPr>
        <w:pStyle w:val="HTML"/>
        <w:rPr>
          <w:spacing w:val="-20"/>
        </w:rPr>
      </w:pPr>
      <w:bookmarkStart w:id="49" w:name="o2493"/>
      <w:bookmarkEnd w:id="49"/>
      <w:r w:rsidRPr="00A63DEB">
        <w:rPr>
          <w:spacing w:val="-20"/>
        </w:rPr>
        <w:t>|група 9 -  інші основні засоби  |              12               |</w:t>
      </w:r>
    </w:p>
    <w:p w:rsidR="00A2035F" w:rsidRPr="00A63DEB" w:rsidRDefault="00A2035F" w:rsidP="00091365">
      <w:pPr>
        <w:pStyle w:val="HTML"/>
        <w:rPr>
          <w:spacing w:val="-20"/>
        </w:rPr>
      </w:pPr>
      <w:bookmarkStart w:id="50" w:name="o2494"/>
      <w:bookmarkEnd w:id="50"/>
      <w:r w:rsidRPr="00A63DEB">
        <w:rPr>
          <w:spacing w:val="-20"/>
        </w:rPr>
        <w:t>|--------------------------------+-------------------------------|</w:t>
      </w:r>
    </w:p>
    <w:p w:rsidR="00A2035F" w:rsidRPr="00A63DEB" w:rsidRDefault="00A2035F" w:rsidP="00091365">
      <w:pPr>
        <w:pStyle w:val="HTML"/>
        <w:rPr>
          <w:spacing w:val="-20"/>
        </w:rPr>
      </w:pPr>
      <w:bookmarkStart w:id="51" w:name="o2495"/>
      <w:bookmarkEnd w:id="51"/>
      <w:r w:rsidRPr="00A63DEB">
        <w:rPr>
          <w:spacing w:val="-20"/>
        </w:rPr>
        <w:t>|група 10 - бібліотечні фонди    |               3               |</w:t>
      </w:r>
    </w:p>
    <w:p w:rsidR="00A2035F" w:rsidRPr="00A63DEB" w:rsidRDefault="00A2035F" w:rsidP="00091365">
      <w:pPr>
        <w:pStyle w:val="HTML"/>
        <w:rPr>
          <w:spacing w:val="-20"/>
        </w:rPr>
      </w:pPr>
      <w:bookmarkStart w:id="52" w:name="o2496"/>
      <w:bookmarkEnd w:id="52"/>
      <w:r w:rsidRPr="00A63DEB">
        <w:rPr>
          <w:spacing w:val="-20"/>
        </w:rPr>
        <w:t>|--------------------------------+-------------------------------|</w:t>
      </w:r>
    </w:p>
    <w:p w:rsidR="00A2035F" w:rsidRPr="00A63DEB" w:rsidRDefault="00A2035F" w:rsidP="00091365">
      <w:pPr>
        <w:pStyle w:val="HTML"/>
        <w:rPr>
          <w:spacing w:val="-20"/>
        </w:rPr>
      </w:pPr>
      <w:bookmarkStart w:id="53" w:name="o2497"/>
      <w:bookmarkEnd w:id="53"/>
      <w:r w:rsidRPr="00A63DEB">
        <w:rPr>
          <w:spacing w:val="-20"/>
        </w:rPr>
        <w:t>|</w:t>
      </w:r>
    </w:p>
    <w:p w:rsidR="00A2035F" w:rsidRPr="00A63DEB" w:rsidRDefault="00A2035F" w:rsidP="00091365">
      <w:pPr>
        <w:pStyle w:val="HTML"/>
        <w:rPr>
          <w:spacing w:val="-20"/>
        </w:rPr>
      </w:pPr>
    </w:p>
    <w:p w:rsidR="00A2035F" w:rsidRPr="00A63DEB" w:rsidRDefault="00A2035F" w:rsidP="00091365">
      <w:pPr>
        <w:pStyle w:val="HTML"/>
        <w:rPr>
          <w:spacing w:val="-20"/>
        </w:rPr>
      </w:pPr>
      <w:bookmarkStart w:id="54" w:name="o2500"/>
      <w:bookmarkEnd w:id="54"/>
      <w:r w:rsidRPr="00A63DEB">
        <w:rPr>
          <w:spacing w:val="-20"/>
        </w:rPr>
        <w:t>|група 12 - тимчасові            |               5               |</w:t>
      </w:r>
    </w:p>
    <w:p w:rsidR="00A2035F" w:rsidRPr="00A63DEB" w:rsidRDefault="00A2035F" w:rsidP="00091365">
      <w:pPr>
        <w:pStyle w:val="HTML"/>
        <w:rPr>
          <w:spacing w:val="-20"/>
        </w:rPr>
      </w:pPr>
      <w:bookmarkStart w:id="55" w:name="o2501"/>
      <w:bookmarkEnd w:id="55"/>
      <w:r w:rsidRPr="00A63DEB">
        <w:rPr>
          <w:spacing w:val="-20"/>
        </w:rPr>
        <w:t>|(нетитульні) споруди            |                               |</w:t>
      </w:r>
    </w:p>
    <w:p w:rsidR="00A2035F" w:rsidRPr="00A63DEB" w:rsidRDefault="00A2035F" w:rsidP="00091365">
      <w:pPr>
        <w:pStyle w:val="HTML"/>
        <w:rPr>
          <w:spacing w:val="-20"/>
        </w:rPr>
      </w:pPr>
      <w:bookmarkStart w:id="56" w:name="o2502"/>
      <w:bookmarkEnd w:id="56"/>
      <w:r w:rsidRPr="00A63DEB">
        <w:rPr>
          <w:spacing w:val="-20"/>
        </w:rPr>
        <w:lastRenderedPageBreak/>
        <w:t>|--------------------------------+-------------------------------|</w:t>
      </w:r>
    </w:p>
    <w:p w:rsidR="00A2035F" w:rsidRPr="00A63DEB" w:rsidRDefault="00A2035F" w:rsidP="00091365">
      <w:pPr>
        <w:pStyle w:val="HTML"/>
        <w:rPr>
          <w:spacing w:val="-20"/>
        </w:rPr>
      </w:pPr>
      <w:bookmarkStart w:id="57" w:name="o2503"/>
      <w:bookmarkEnd w:id="57"/>
      <w:r w:rsidRPr="00A63DEB">
        <w:rPr>
          <w:spacing w:val="-20"/>
        </w:rPr>
        <w:t>|група 13 - природні ресурси     |               -               |</w:t>
      </w:r>
    </w:p>
    <w:p w:rsidR="00A2035F" w:rsidRPr="00A63DEB" w:rsidRDefault="00A2035F" w:rsidP="00091365">
      <w:pPr>
        <w:pStyle w:val="HTML"/>
        <w:rPr>
          <w:spacing w:val="-20"/>
        </w:rPr>
      </w:pPr>
      <w:bookmarkStart w:id="58" w:name="o2504"/>
      <w:bookmarkEnd w:id="58"/>
      <w:r w:rsidRPr="00A63DEB">
        <w:rPr>
          <w:spacing w:val="-20"/>
        </w:rPr>
        <w:t>|--------------------------------+-------------------------------|</w:t>
      </w:r>
    </w:p>
    <w:p w:rsidR="00A2035F" w:rsidRPr="00A63DEB" w:rsidRDefault="00A2035F" w:rsidP="00091365">
      <w:pPr>
        <w:pStyle w:val="HTML"/>
        <w:rPr>
          <w:spacing w:val="-20"/>
        </w:rPr>
      </w:pPr>
      <w:bookmarkStart w:id="59" w:name="o2505"/>
      <w:bookmarkEnd w:id="59"/>
      <w:r w:rsidRPr="00A63DEB">
        <w:rPr>
          <w:spacing w:val="-20"/>
        </w:rPr>
        <w:t>|група 14  - інвентарна тара     |               6               |</w:t>
      </w:r>
    </w:p>
    <w:p w:rsidR="00A2035F" w:rsidRPr="00A63DEB" w:rsidRDefault="00A2035F" w:rsidP="00091365">
      <w:pPr>
        <w:pStyle w:val="HTML"/>
        <w:rPr>
          <w:spacing w:val="-20"/>
        </w:rPr>
      </w:pPr>
      <w:bookmarkStart w:id="60" w:name="o2506"/>
      <w:bookmarkEnd w:id="60"/>
      <w:r w:rsidRPr="00A63DEB">
        <w:rPr>
          <w:spacing w:val="-20"/>
        </w:rPr>
        <w:t>|--------------------------------+-------------------------------|</w:t>
      </w:r>
    </w:p>
    <w:p w:rsidR="00A2035F" w:rsidRPr="00A63DEB" w:rsidRDefault="00A2035F" w:rsidP="00091365">
      <w:pPr>
        <w:pStyle w:val="HTML"/>
        <w:rPr>
          <w:spacing w:val="-20"/>
        </w:rPr>
      </w:pPr>
      <w:bookmarkStart w:id="61" w:name="o2507"/>
      <w:bookmarkEnd w:id="61"/>
      <w:r w:rsidRPr="00A63DEB">
        <w:rPr>
          <w:spacing w:val="-20"/>
        </w:rPr>
        <w:t>|група 15 - предмети прокату     |               5               |</w:t>
      </w:r>
    </w:p>
    <w:p w:rsidR="00A2035F" w:rsidRPr="00A63DEB" w:rsidRDefault="00A2035F" w:rsidP="00091365">
      <w:pPr>
        <w:pStyle w:val="HTML"/>
        <w:rPr>
          <w:spacing w:val="-20"/>
        </w:rPr>
      </w:pPr>
      <w:bookmarkStart w:id="62" w:name="o2508"/>
      <w:bookmarkEnd w:id="62"/>
      <w:r w:rsidRPr="00A63DEB">
        <w:rPr>
          <w:spacing w:val="-20"/>
        </w:rPr>
        <w:t>|--------------------------------+-------------------------------|</w:t>
      </w:r>
    </w:p>
    <w:p w:rsidR="00A2035F" w:rsidRPr="00A63DEB" w:rsidRDefault="00A2035F" w:rsidP="00091365">
      <w:pPr>
        <w:pStyle w:val="HTML"/>
        <w:rPr>
          <w:spacing w:val="-20"/>
        </w:rPr>
      </w:pPr>
      <w:bookmarkStart w:id="63" w:name="o2509"/>
      <w:bookmarkEnd w:id="63"/>
      <w:r w:rsidRPr="00A63DEB">
        <w:rPr>
          <w:spacing w:val="-20"/>
        </w:rPr>
        <w:t>|група 16 - довгострокові        |               7               |</w:t>
      </w:r>
    </w:p>
    <w:p w:rsidR="00A2035F" w:rsidRPr="00A63DEB" w:rsidRDefault="00A2035F" w:rsidP="00091365">
      <w:pPr>
        <w:pStyle w:val="HTML"/>
        <w:rPr>
          <w:spacing w:val="-20"/>
        </w:rPr>
      </w:pPr>
      <w:bookmarkStart w:id="64" w:name="o2510"/>
      <w:bookmarkEnd w:id="64"/>
      <w:r w:rsidRPr="00A63DEB">
        <w:rPr>
          <w:spacing w:val="-20"/>
        </w:rPr>
        <w:t xml:space="preserve">|біологічні активи               |                               </w:t>
      </w:r>
    </w:p>
    <w:p w:rsidR="00A2035F" w:rsidRPr="00A63DEB" w:rsidRDefault="00A2035F" w:rsidP="00091365">
      <w:pPr>
        <w:pStyle w:val="HTML"/>
        <w:rPr>
          <w:spacing w:val="-20"/>
        </w:rPr>
      </w:pPr>
      <w:r w:rsidRPr="00A63DEB">
        <w:rPr>
          <w:spacing w:val="-20"/>
        </w:rPr>
        <w:t>------------------------------------------------------------------</w:t>
      </w:r>
    </w:p>
    <w:p w:rsidR="00A2035F" w:rsidRPr="00A63DEB" w:rsidRDefault="00A2035F" w:rsidP="00091365">
      <w:pPr>
        <w:pStyle w:val="HTML"/>
        <w:rPr>
          <w:spacing w:val="-20"/>
        </w:rPr>
      </w:pPr>
      <w:bookmarkStart w:id="65" w:name="o2511"/>
      <w:bookmarkEnd w:id="65"/>
      <w:r w:rsidRPr="00A63DEB">
        <w:rPr>
          <w:spacing w:val="-20"/>
        </w:rPr>
        <w:t xml:space="preserve">|група 17 – капітальне  </w:t>
      </w:r>
    </w:p>
    <w:p w:rsidR="00A2035F" w:rsidRPr="00A63DEB" w:rsidRDefault="00A2035F" w:rsidP="00091365">
      <w:pPr>
        <w:pStyle w:val="HTML"/>
        <w:rPr>
          <w:spacing w:val="-20"/>
        </w:rPr>
      </w:pPr>
      <w:r w:rsidRPr="00A63DEB">
        <w:rPr>
          <w:spacing w:val="-20"/>
        </w:rPr>
        <w:t xml:space="preserve"> будівництво                     |               -               |</w:t>
      </w:r>
    </w:p>
    <w:p w:rsidR="00A2035F" w:rsidRPr="00A63DEB" w:rsidRDefault="00A2035F" w:rsidP="00091365">
      <w:pPr>
        <w:pStyle w:val="HTML"/>
        <w:rPr>
          <w:spacing w:val="-20"/>
        </w:rPr>
      </w:pPr>
      <w:r w:rsidRPr="00A63DEB">
        <w:rPr>
          <w:spacing w:val="-20"/>
        </w:rPr>
        <w:t>------------------------------------------------------------------</w:t>
      </w:r>
    </w:p>
    <w:p w:rsidR="00A2035F" w:rsidRPr="00A63DEB" w:rsidRDefault="00A2035F" w:rsidP="00091365">
      <w:pPr>
        <w:pStyle w:val="HTML"/>
        <w:rPr>
          <w:spacing w:val="-20"/>
        </w:rPr>
      </w:pPr>
      <w:r w:rsidRPr="00A63DEB">
        <w:rPr>
          <w:spacing w:val="-20"/>
        </w:rPr>
        <w:t>| група 18 – придбання основних</w:t>
      </w:r>
    </w:p>
    <w:p w:rsidR="00A2035F" w:rsidRPr="00A63DEB" w:rsidRDefault="00A2035F" w:rsidP="00091365">
      <w:pPr>
        <w:pStyle w:val="HTML"/>
        <w:rPr>
          <w:spacing w:val="-20"/>
        </w:rPr>
      </w:pPr>
      <w:r w:rsidRPr="00A63DEB">
        <w:rPr>
          <w:spacing w:val="-20"/>
        </w:rPr>
        <w:t xml:space="preserve"> засобів                         |               -               !</w:t>
      </w:r>
    </w:p>
    <w:p w:rsidR="00A2035F" w:rsidRPr="00A63DEB" w:rsidRDefault="00A2035F" w:rsidP="00091365">
      <w:pPr>
        <w:pStyle w:val="HTML"/>
        <w:rPr>
          <w:spacing w:val="-20"/>
        </w:rPr>
      </w:pPr>
      <w:r w:rsidRPr="00A63DEB">
        <w:rPr>
          <w:spacing w:val="-20"/>
        </w:rPr>
        <w:t>------------------------------------------------------------------</w:t>
      </w:r>
    </w:p>
    <w:p w:rsidR="00A2035F" w:rsidRPr="00A63DEB" w:rsidRDefault="00A2035F" w:rsidP="00091365">
      <w:pPr>
        <w:pStyle w:val="HTML"/>
        <w:rPr>
          <w:spacing w:val="-20"/>
        </w:rPr>
      </w:pPr>
      <w:r w:rsidRPr="00A63DEB">
        <w:rPr>
          <w:spacing w:val="-20"/>
        </w:rPr>
        <w:t>! група 19 – виготовлення        !               -               !</w:t>
      </w:r>
    </w:p>
    <w:p w:rsidR="00A2035F" w:rsidRPr="00A63DEB" w:rsidRDefault="00A2035F" w:rsidP="00091365">
      <w:pPr>
        <w:pStyle w:val="HTML"/>
        <w:rPr>
          <w:spacing w:val="-20"/>
        </w:rPr>
      </w:pPr>
      <w:r w:rsidRPr="00A63DEB">
        <w:rPr>
          <w:spacing w:val="-20"/>
        </w:rPr>
        <w:t xml:space="preserve">  основних засобів</w:t>
      </w:r>
    </w:p>
    <w:p w:rsidR="00A2035F" w:rsidRPr="00A63DEB" w:rsidRDefault="00A2035F" w:rsidP="00091365">
      <w:pPr>
        <w:pStyle w:val="HTML"/>
        <w:rPr>
          <w:spacing w:val="-20"/>
        </w:rPr>
      </w:pPr>
      <w:r w:rsidRPr="00A63DEB">
        <w:rPr>
          <w:spacing w:val="-20"/>
        </w:rPr>
        <w:t>------------------------------------------------------------------</w:t>
      </w:r>
    </w:p>
    <w:p w:rsidR="00A2035F" w:rsidRPr="00A63DEB" w:rsidRDefault="00A2035F" w:rsidP="00091365">
      <w:pPr>
        <w:pStyle w:val="HTML"/>
        <w:rPr>
          <w:rFonts w:ascii="Times New Roman" w:hAnsi="Times New Roman"/>
          <w:spacing w:val="-20"/>
          <w:sz w:val="24"/>
        </w:rPr>
      </w:pPr>
      <w:r w:rsidRPr="00A63DEB">
        <w:rPr>
          <w:rFonts w:ascii="Times New Roman" w:hAnsi="Times New Roman"/>
          <w:spacing w:val="-20"/>
          <w:sz w:val="24"/>
        </w:rPr>
        <w:t>Об’єкти, які знаходяться в процесі незавершеного будівництва чи не введені в експлуатацію придбані основні засоби, капіталізуються як окремий елемент основних засобів. По завершенні будівництва чи введенні в експлуатацію придбаного основного засобу вартість об’єкту переноситься до відповідної категорії основних засобів. Знос на об’єкти незавершеного будівництва не нараховується.</w:t>
      </w:r>
    </w:p>
    <w:p w:rsidR="00A2035F" w:rsidRPr="00A63DEB" w:rsidRDefault="00A2035F" w:rsidP="00091365">
      <w:pPr>
        <w:pStyle w:val="HTML"/>
        <w:rPr>
          <w:rFonts w:ascii="Times New Roman" w:hAnsi="Times New Roman"/>
          <w:spacing w:val="-20"/>
          <w:sz w:val="24"/>
        </w:rPr>
      </w:pPr>
    </w:p>
    <w:p w:rsidR="00A2035F" w:rsidRPr="00A63DEB" w:rsidRDefault="00A2035F" w:rsidP="00091365">
      <w:pPr>
        <w:pStyle w:val="HTML"/>
        <w:rPr>
          <w:rFonts w:ascii="Times New Roman" w:hAnsi="Times New Roman"/>
          <w:spacing w:val="-20"/>
          <w:sz w:val="24"/>
        </w:rPr>
      </w:pPr>
      <w:r w:rsidRPr="00A63DEB">
        <w:rPr>
          <w:rFonts w:ascii="Times New Roman" w:hAnsi="Times New Roman"/>
          <w:spacing w:val="-20"/>
          <w:sz w:val="24"/>
        </w:rPr>
        <w:t>Метод нарахування зносу, очікуваний строк корисного використання та ліквідаційна вартість переглядаються принаймні раз на рік і коригуються, якщо це необхідно.</w:t>
      </w:r>
    </w:p>
    <w:p w:rsidR="00A2035F" w:rsidRPr="00A63DEB" w:rsidRDefault="00A2035F" w:rsidP="00091365">
      <w:pPr>
        <w:pStyle w:val="HTML"/>
        <w:rPr>
          <w:rFonts w:ascii="Times New Roman" w:hAnsi="Times New Roman"/>
          <w:spacing w:val="-20"/>
          <w:sz w:val="24"/>
        </w:rPr>
      </w:pPr>
      <w:r w:rsidRPr="00A63DEB">
        <w:rPr>
          <w:rFonts w:ascii="Times New Roman" w:hAnsi="Times New Roman"/>
          <w:spacing w:val="-20"/>
          <w:sz w:val="24"/>
        </w:rPr>
        <w:t>Знос поліпшення  орендованої нерухомості нараховується протягом усього очікуваного строку їх корисного використання на тій самій основі, що і знос власних активів.</w:t>
      </w:r>
    </w:p>
    <w:p w:rsidR="00A2035F" w:rsidRPr="00A63DEB" w:rsidRDefault="00A2035F" w:rsidP="00091365">
      <w:pPr>
        <w:pStyle w:val="HTML"/>
        <w:rPr>
          <w:rFonts w:ascii="Times New Roman" w:hAnsi="Times New Roman"/>
          <w:spacing w:val="-20"/>
          <w:sz w:val="24"/>
        </w:rPr>
      </w:pPr>
      <w:r w:rsidRPr="00A63DEB">
        <w:rPr>
          <w:rFonts w:ascii="Times New Roman" w:hAnsi="Times New Roman"/>
          <w:spacing w:val="-20"/>
          <w:sz w:val="24"/>
        </w:rPr>
        <w:t xml:space="preserve"> </w:t>
      </w:r>
    </w:p>
    <w:p w:rsidR="00A2035F" w:rsidRPr="00A63DEB" w:rsidRDefault="00A2035F" w:rsidP="00091365">
      <w:pPr>
        <w:pStyle w:val="HTML"/>
        <w:rPr>
          <w:rFonts w:ascii="Times New Roman" w:hAnsi="Times New Roman"/>
          <w:spacing w:val="-20"/>
          <w:sz w:val="24"/>
        </w:rPr>
      </w:pPr>
      <w:r w:rsidRPr="00A63DEB">
        <w:rPr>
          <w:rFonts w:ascii="Times New Roman" w:hAnsi="Times New Roman"/>
          <w:spacing w:val="-20"/>
          <w:sz w:val="24"/>
        </w:rPr>
        <w:t xml:space="preserve">Інвентаризація основних засобів проводиться раз на рік обов’язково перед складанням річної фінансової звітності. Термін проведення інвентаризації встановлюється Компанією протягом  IV кварталу поточного року. </w:t>
      </w:r>
    </w:p>
    <w:p w:rsidR="00A2035F" w:rsidRPr="00A63DEB" w:rsidRDefault="00A2035F" w:rsidP="00214316">
      <w:pPr>
        <w:spacing w:before="100" w:beforeAutospacing="1" w:after="100" w:afterAutospacing="1" w:line="240" w:lineRule="auto"/>
        <w:outlineLvl w:val="1"/>
        <w:rPr>
          <w:rFonts w:ascii="Times New Roman" w:hAnsi="Times New Roman"/>
          <w:b/>
          <w:bCs/>
          <w:i/>
          <w:spacing w:val="-20"/>
          <w:sz w:val="24"/>
          <w:szCs w:val="36"/>
        </w:rPr>
      </w:pPr>
      <w:r w:rsidRPr="00A63DEB">
        <w:rPr>
          <w:rFonts w:ascii="Times New Roman" w:hAnsi="Times New Roman"/>
          <w:b/>
          <w:bCs/>
          <w:i/>
          <w:spacing w:val="-20"/>
          <w:sz w:val="24"/>
          <w:szCs w:val="36"/>
        </w:rPr>
        <w:t>   Запаси.</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Компанія обліковує  запаси у відповідності до МСБО 2 «Запаси».  Компанія визнає запасами  активи, які:</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утримуються для продажу у звичайному ході бізнесу;</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перебувають у процесі виробництва для такого продажу;</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існують у формі основних чи допоміжних матеріалів для споживання у виробничому процесі або при  наданні послуг.</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оцінює запаси за меншою з таких величин:</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собівартість та чиста вартість реалізації, визначених згідно МСБО 2 «Запаси».</w:t>
      </w:r>
    </w:p>
    <w:p w:rsidR="00A2035F" w:rsidRPr="00A63DEB" w:rsidRDefault="00A2035F" w:rsidP="00214316">
      <w:pPr>
        <w:spacing w:before="100" w:beforeAutospacing="1" w:after="100" w:afterAutospacing="1" w:line="240" w:lineRule="auto"/>
        <w:rPr>
          <w:rFonts w:ascii="Times New Roman" w:hAnsi="Times New Roman"/>
          <w:spacing w:val="-20"/>
          <w:sz w:val="24"/>
          <w:szCs w:val="24"/>
          <w:lang w:val="en-US"/>
        </w:rPr>
      </w:pPr>
      <w:r w:rsidRPr="00A63DEB">
        <w:rPr>
          <w:rFonts w:ascii="Times New Roman" w:hAnsi="Times New Roman"/>
          <w:spacing w:val="-20"/>
          <w:sz w:val="24"/>
          <w:szCs w:val="24"/>
        </w:rPr>
        <w:t> Компанія класифікує запаси</w:t>
      </w:r>
      <w:r w:rsidRPr="00A63DEB">
        <w:rPr>
          <w:rFonts w:ascii="Times New Roman" w:hAnsi="Times New Roman"/>
          <w:spacing w:val="-20"/>
          <w:sz w:val="24"/>
          <w:szCs w:val="24"/>
          <w:lang w:val="en-US"/>
        </w:rPr>
        <w:t>:</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виробничі запаси;</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виробничі допоміжні матеріали;</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матеріали;</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незавершене виробництво;</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готова продукція;</w:t>
      </w:r>
    </w:p>
    <w:p w:rsidR="00A2035F" w:rsidRPr="00A63DEB" w:rsidRDefault="00A2035F" w:rsidP="00214316">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lastRenderedPageBreak/>
        <w:t>товари.</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Компанія визначає собівартість запасів  за методом ФІФО. Формула ФІФО припускає, що одиниці запасів, які були придбані, продаються першими, а отже одиниці, які залишаються в запасах на кінець періоду, є тими, що були придбаними  останніми. </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Коли запаси реалізовані, їхня балансова вартість визнається витратами періоду, в якому визнається відповідний дохід.</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Сума списання вартості запасів до їх чистої вартості реалізації та втрати запасів визнаються Компанією витратами періоду, в якому відбулося списання або втрата.</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разі коли запаси розподіляються на інший актив (як компонент основного засобу), вони визнаються витратами протягом строку корисної експлуатації цього активу.</w:t>
      </w:r>
    </w:p>
    <w:p w:rsidR="00A2035F" w:rsidRPr="00A63DEB" w:rsidRDefault="00A2035F" w:rsidP="00C95C10">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Грошові кошти та їх еквіваленти.</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Грошові кошти Компанії та їх еквіваленти включають кошти в банках і касі.</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Для цілей звіту про рух грошових коштів Компанії  грошові кошти та їх еквіваленти складаються з коштів в банках і касі в функціональній валюті представлення фінансової звітності.</w:t>
      </w:r>
    </w:p>
    <w:p w:rsidR="00A2035F" w:rsidRPr="00A63DEB" w:rsidRDefault="00A2035F" w:rsidP="00C95C10">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Зменшення корисності активів.</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Компанія застосовує МСБО 36 «Зменшення корисності активів» для забезпечення обліку  своїх активів за сумою, яка не є більшою ніж сума їх очікуваного відшкодування . </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Корисність активу зменшується, коли балансова вартість активу перевищує суму його очікуваного відшкодування.  Сума, на яку  балансова вартість активу або одиниці, що генерує грошові кошти , перевищує суму  його (її) очікуваного відшкодування  визнається збитком від зменшення корисності.</w:t>
      </w:r>
    </w:p>
    <w:p w:rsidR="00A2035F" w:rsidRPr="00A63DEB" w:rsidRDefault="00A2035F" w:rsidP="00C95C10">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Фінансові інструменти.</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Компанія визнає, оцінює  та подає  інформацію щодо фінансових інструментів у відповідності до МСБО 39  «Фінансові інструменти : визнання та оцінка» та МСБО 32  «Фінансові інструменти: подання», МСФЗ 7 «Фінансові інструменти: розкриття інформації», МСФЗ 9 «Фінансові інструменти» .</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вважає фінансовим інструментом будь-який контракт, який приводить до виникнення фінансового активу у одного суб`єкта господарювання та фінансового зобов`язання або інструмента капіталу, у іншого суб`єкта господарювання.</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фінансові активи та фінансові зобов`язання за собівартістю у відповідності до МСБО 39 «Фінансові інструменти : визнання та оцінка».</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фінансовим активом  будь-який актив, що є:</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грошовими коштами;</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інструментом власного капіталу іншого суб`єкта господарювання;</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контрактним правом отримувати грошові кошти або інший фінансовий актив та обмінювати фінансові інструменти;</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lastRenderedPageBreak/>
        <w:t>контрактом, розрахунки за яким  здійснюватимуться власними інструментами капіталу.</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створює резерв  на погашення сумнівного фінансового активу у відповідності до МСБО 39 «Фінансові інструменти: визнання та оцінка» у разі якщо корисність фінансового активу зменшується.</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Балансова вартість активу зменшується шляхом застосування рахунку резерву, а сума збитку  визнається у прибутках і збитках для всіх знецінених фінансових активів.</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фінансовим зобов`язанням будь-яке зобов`язання , що є:</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контрактним зобов`язанням надавати грошові кошти або інші фінансові активи іншому суб`єкту господарювання або обмінювати фінансові активи та фінансові зобов`язання;</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контрактом, розрахунки за яким здійснюватимуться власними інструментами капіталу.</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Фінансові зобов’язання визнаються  первісно за справедливою вартістю за вирахуванням суми прямих витрат за операціями.</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Доходи і витрати,  при припиненні визнання фінансового зобов’язання, визнаються у складі чистого прибутку або збитку при припиненні їх визнання. </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Фінансові активи та фінансові зобов’язання підлягають взаємозаліку, а чиста сума  представленню  у звіті про фінансовий стан тоді, коли є здійснене в цей момент юридичне право на взаємозалік визнаних сум.</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Припинення визнання фінансового активу чи фінансового зобов’язання відбувається у відповідності до критеріїв МСБО 39 «Фінансові інструменти: визнання та оцінка».</w:t>
      </w:r>
    </w:p>
    <w:p w:rsidR="00A2035F" w:rsidRPr="00A63DEB" w:rsidRDefault="00A2035F" w:rsidP="00C95C10">
      <w:pPr>
        <w:spacing w:before="100" w:beforeAutospacing="1" w:after="100" w:afterAutospacing="1" w:line="240" w:lineRule="auto"/>
        <w:outlineLvl w:val="1"/>
        <w:rPr>
          <w:rFonts w:ascii="Times New Roman" w:hAnsi="Times New Roman"/>
          <w:b/>
          <w:bCs/>
          <w:i/>
          <w:spacing w:val="-20"/>
          <w:sz w:val="24"/>
          <w:szCs w:val="36"/>
        </w:rPr>
      </w:pPr>
      <w:r w:rsidRPr="00A63DEB">
        <w:rPr>
          <w:rFonts w:ascii="Times New Roman" w:hAnsi="Times New Roman"/>
          <w:b/>
          <w:bCs/>
          <w:i/>
          <w:spacing w:val="-20"/>
          <w:sz w:val="24"/>
          <w:szCs w:val="36"/>
        </w:rPr>
        <w:t>  Класифікація поточна та непоточна.</w:t>
      </w:r>
    </w:p>
    <w:p w:rsidR="00A2035F" w:rsidRPr="00A63DEB" w:rsidRDefault="00A2035F" w:rsidP="00C95C10">
      <w:pPr>
        <w:spacing w:before="100" w:beforeAutospacing="1" w:after="100" w:afterAutospacing="1" w:line="240" w:lineRule="auto"/>
        <w:outlineLvl w:val="1"/>
        <w:rPr>
          <w:rFonts w:ascii="Times New Roman" w:hAnsi="Times New Roman"/>
          <w:bCs/>
          <w:spacing w:val="-20"/>
          <w:sz w:val="24"/>
          <w:szCs w:val="36"/>
        </w:rPr>
      </w:pPr>
      <w:r w:rsidRPr="00A63DEB">
        <w:rPr>
          <w:rFonts w:ascii="Times New Roman" w:hAnsi="Times New Roman"/>
          <w:bCs/>
          <w:spacing w:val="-20"/>
          <w:sz w:val="24"/>
          <w:szCs w:val="36"/>
        </w:rPr>
        <w:t>Операційний цикл Компанії дорівнює дванадцяти місяцям і визнається як час між придбанням активів для переробки та реалізацією їх у грошові кошти або еквіваленти грошових коштів.</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Актив  класифікується як поточний, якщо:</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сподівається реалізувати цей актив або має намір продати чи спожити його у своєму нормальному операційному циклі;</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утримує актив в основному з метою продажу;</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сподівається реалізувати актив протягом дванадцяти місяців після звітного періоду;</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актив є грошовими коштами чи  еквівалентами грошових коштів, якщо немає обмеження щодо їх використання.</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Інші активи  класифікуються як непоточні.</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Зобов’язання  класифікується як поточне, якщо:</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сподівається погасити це зобов’язання в ході свого нормального операційного циклу;</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утримує це зобов’язання в основному з метою продажу;</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зобов’язання підлягає погашенню протягом дванадцяти місяців після звітного періоду;</w:t>
      </w:r>
    </w:p>
    <w:p w:rsidR="00A2035F" w:rsidRPr="00A63DEB" w:rsidRDefault="00A2035F" w:rsidP="00C95C10">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lastRenderedPageBreak/>
        <w:t>Компанія не має права відстрочити погашення зобов’язання протягом як мінімум дванадцяти місяців після звітного періоду.</w:t>
      </w:r>
    </w:p>
    <w:p w:rsidR="00A2035F" w:rsidRPr="00A63DEB" w:rsidRDefault="00A2035F" w:rsidP="00C95C1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Інші зобов’язання класифікуються як непоточні. </w:t>
      </w:r>
    </w:p>
    <w:p w:rsidR="00A2035F" w:rsidRPr="00A63DEB" w:rsidRDefault="00A2035F" w:rsidP="0021431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Фінансові інструменти класифікуються виходячи з очікуваного строку їх корисного використання.</w:t>
      </w: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spacing w:val="-20"/>
          <w:sz w:val="24"/>
          <w:szCs w:val="24"/>
        </w:rPr>
        <w:t> </w:t>
      </w:r>
      <w:r w:rsidRPr="00A63DEB">
        <w:rPr>
          <w:rFonts w:ascii="Times New Roman" w:hAnsi="Times New Roman"/>
          <w:b/>
          <w:i/>
          <w:spacing w:val="-20"/>
          <w:sz w:val="24"/>
          <w:szCs w:val="24"/>
        </w:rPr>
        <w:t xml:space="preserve"> Пенсійні зобов`язання та інші виплати персоналу.</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відповідності до МСБО 19 «Виплати працівникам» Компанія визнає :</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зобов`язання, якщо працівник надав послугу в обмін на виплати, які будуть сплачені в майбутньому;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витрати,  якщо Компанія споживає економічну вигоду, що виникає внаслідок послуги, наданої працівником в обмін на виплати працівникам .</w:t>
      </w:r>
    </w:p>
    <w:p w:rsidR="00A2035F" w:rsidRPr="00A63DEB" w:rsidRDefault="00A2035F" w:rsidP="002175CF">
      <w:pPr>
        <w:spacing w:before="100" w:beforeAutospacing="1" w:after="100" w:afterAutospacing="1" w:line="240" w:lineRule="auto"/>
        <w:ind w:left="360"/>
        <w:rPr>
          <w:rFonts w:ascii="Times New Roman" w:hAnsi="Times New Roman"/>
          <w:spacing w:val="-20"/>
          <w:sz w:val="24"/>
          <w:szCs w:val="24"/>
        </w:rPr>
      </w:pPr>
      <w:r w:rsidRPr="00A63DEB">
        <w:rPr>
          <w:rFonts w:ascii="Times New Roman" w:hAnsi="Times New Roman"/>
          <w:spacing w:val="-20"/>
          <w:sz w:val="24"/>
          <w:szCs w:val="24"/>
        </w:rPr>
        <w:t>Компанія проводить такі виплати працівникам:</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короткострокові виплати працівникам, такі як заробітна плата, внески на соціальне забезпечення, оплачені щорічні відпустки та тимчасова непрацездатність, премії та матеріальні допомоги;</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виплати при звільнені.</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здійснює певні відрахування до Державного Пенсійного фонду за ставками, що діють протягом року, виходячи з нарахованої заробітної плати. Ці відрахування відображаються як витрати у тому звітному періоді, до якого відноситься відповідна заробітна плата.</w:t>
      </w: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Забезпечення, умовні зобов’язання та умовні активи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Забезпечення визнаються, коли в результаті певної події в минулому Компанія має юридичні або добровільно взяті на себе зобов`язання, для врегулювання яких з великим ступенем ймовірності буде потрібний відтік ресурсів, які втілюють у собі майбутні економічні вигоди, а також суму зобов’язання можна достовірно визначити.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забезпечення у відповідності до МСБО 37 «Забезпечення, умовні зобов’язання та умовні активи».</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Умовні активи та зобов’язання визнаються Компанією у відповідності до МСБО 37 «Забезпечення, умовні зобов’язання та умовні активи».</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Умовними активами Компанія визнає можливі активи, які виникають внаслідок минулих подій і існування яких підтвердиться лише після того, як відбудеться або не відбудеться одна чи кілька невизначених майбутніх подій, котрі не повністю контролюються Компанією.</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Умовними зобов’язаннями  Компанія визнає можливі зобов’язання , які виникають внаслідок минулих подій і існування яких підтвердиться лише після того, як відбудеться або не відбудеться одна чи кілька невизначених майбутніх подій, котрі не повністю контролюються Компанією або це можуть бути існуючі зобов’язання, які виникли в результаті минулих подій, але вибуття ресурсів щодо їх погашення є малоймовірним та сума їх не може бути достовірно оцінена.</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Оренда.</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застосовує МСБО 17 «Оренда»  проводячи операції, що передбачають угоди, згідно з якими орендодавець передає орендареві в обмін на платіж або ряд платежів право користування активом протягом погодженого періоду часу. Компанія класифікує операції з оренди як операційну оренду та фінансову оренду.</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Облік, визнання та розкриття інформації про операції з оренди проводиться  Компанією у відповідності з МСБО 17 «Оренда».</w:t>
      </w: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Дохід.</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застосовує МСБО 18 «Дохід»  до обліку доходу, який виникає в результаті таких операцій і подій :</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продаж товарів;</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надання послуг;</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використання активів Компанії іншими сторонами, результатом чого є відсотки, роялті та дивіденди.</w:t>
      </w:r>
    </w:p>
    <w:p w:rsidR="00A2035F" w:rsidRPr="00A63DEB" w:rsidRDefault="00A2035F" w:rsidP="002175CF">
      <w:p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оцінює дохід за справедливою вартістю компенсації, яка була отримана  або підлягає отриманню.</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Дохід від продажу товарів визнається в разі задоволення всіх наведених далі умов:</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Компанія передала покупцеві суттєві ризики і винагороди, пов’язані з власністю на товар;</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за компанією не залишається ані подальша участь управлінського персоналу у формі, яка, як правило, пов’язана з володінням, ані ефективний контроль за проданими товарами:</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суму доходу можна достовірно оцінити;</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ймовірно, що до Компанії надійдуть економічні вигоди, пов’язані з операцією;</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витрати, які були або будуть, понесені у зв’язку з операцією, можна достовірно оцінити.</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Дохід від надання послуг визнається в разі задоволення всіх наведених далі умов:</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можна достовірно оцінити суму доходу;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є ймовірність надходження до Компанії економічних вигід, пов’язаних з операцією;</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можна достовірно оцінити ступінь завершеності операції на кінець звітного періоду;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можна достовірно оцінити витрати, понесені у зв’язку з операцією, та витрати, необхідні для її завершення.</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Ступінь завершеності операції визначається методом огляду виконаної роботи.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класифікує доходи як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дохід від звичайної діяльності;</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прибуток від інших операцій.</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Дохід від звичайної діяльності є доходом, який виникає в ході звичайної діяльності Компанії.</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Податки на прибуток.</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у відповідності до МСБО 12 «Податки на прибуток» визначає обліковий підхід до податків на прибуток . Компанія обліковує поточні та майбутні податкові наслідки:</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майбутнього відшкодування ( компенсації)  балансової вартості активів (зобов`язань) , які визнані  в звіті про фінансовий стан Компанії;</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операцій та інших подій поточного періоду, які визнані у фінансовій звітності Компанії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Даний стандарт Компанія застосовує до складу податків на прибуток включаючи всі податки, що базуються на оподатковуваному прибутку.</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Якщо є ймовірність того, що відшкодування або компенсація балансової вартості активу чи зобов`язання збільшить (зменшить) суму майбутніх податкових платежів порівняно з тим, якими вони були у разі відсутності податкових наслідків відшкодування або компенсації, Компанія , визнає відстрочене податкове зобов`язання  (відстрочений податковий актив).</w:t>
      </w: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 xml:space="preserve"> Події після звітної дати.</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відповідності до МСБО10 «Події після звітного періоду» Компанія  визначає  сприятливі та несприятливі події, які відбуваються з кінця звітного періоду до дати затвердження  фінансової звітності до випуску. Компанія визначає два типа подій:</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події, які свідчать про умови, що існували на кінець звітного періоду( події , які вимагають коригування після звітного періоду);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події, які свідчать про умови,  що виникли після звітного періоду ( події, які не вимагають коригування після звітного періоду).</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Згідно вимог МСБО 10 «Події після звітного періоду» Компанія  коригує  фінансову звітність стосовно подій після звітного періоду та розкриває інформацію про такі коригування.</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Події, що відбулися після звітної дати, які не є коригуючими подіями, відображаються в примітках до фінансової звітності, якщо вони є суттєвими. </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p>
    <w:p w:rsidR="00A2035F" w:rsidRPr="00A63DEB" w:rsidRDefault="00A2035F" w:rsidP="002175CF">
      <w:pPr>
        <w:spacing w:before="100" w:beforeAutospacing="1" w:after="100" w:afterAutospacing="1" w:line="240" w:lineRule="auto"/>
        <w:rPr>
          <w:rFonts w:ascii="Times New Roman" w:hAnsi="Times New Roman"/>
          <w:b/>
          <w:i/>
          <w:spacing w:val="-20"/>
          <w:sz w:val="24"/>
          <w:szCs w:val="24"/>
        </w:rPr>
      </w:pPr>
      <w:r w:rsidRPr="00A63DEB">
        <w:rPr>
          <w:rFonts w:ascii="Times New Roman" w:hAnsi="Times New Roman"/>
          <w:b/>
          <w:i/>
          <w:spacing w:val="-20"/>
          <w:sz w:val="24"/>
          <w:szCs w:val="24"/>
        </w:rPr>
        <w:t>Зв’язані  сторони.</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у відповідності до МСБО 24  «Розкриття інформації про зв’язані сторони» розкриває у фінансовій звітності інформацію, необхідну для привернення уваги до можливого впливу на фінансовий стан і на прибуток чи збиток, спричиненого існуванням зв’язаних сторін, а також операціями та залишками заборгованості.</w:t>
      </w:r>
    </w:p>
    <w:p w:rsidR="00A2035F" w:rsidRPr="00A63DEB" w:rsidRDefault="00A2035F" w:rsidP="002175C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Зв’язаними особами Компанія вважає фізичних або юридичних осіб за такими ознаками:</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lastRenderedPageBreak/>
        <w:t>фізична особа або близький родич такої фізичної особи, що контролює Компанію - має суттєвий вплив або є членом провідного управлінського персоналу;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юридична особа, що контролює Компанію - має суттєвий вплив або є членом провідного управлінського персоналу;</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юридична особа, що перебуває під спільним контролем разом з Компанією;</w:t>
      </w:r>
    </w:p>
    <w:p w:rsidR="00A2035F" w:rsidRPr="00A63DEB" w:rsidRDefault="00A2035F" w:rsidP="002175CF">
      <w:pPr>
        <w:numPr>
          <w:ilvl w:val="0"/>
          <w:numId w:val="2"/>
        </w:numPr>
        <w:spacing w:before="100" w:beforeAutospacing="1" w:after="100" w:afterAutospacing="1" w:line="240" w:lineRule="auto"/>
        <w:ind w:left="720"/>
        <w:rPr>
          <w:rFonts w:ascii="Times New Roman" w:hAnsi="Times New Roman"/>
          <w:spacing w:val="-20"/>
          <w:sz w:val="24"/>
          <w:szCs w:val="24"/>
        </w:rPr>
      </w:pPr>
      <w:r w:rsidRPr="00A63DEB">
        <w:rPr>
          <w:rFonts w:ascii="Times New Roman" w:hAnsi="Times New Roman"/>
          <w:spacing w:val="-20"/>
          <w:sz w:val="24"/>
          <w:szCs w:val="24"/>
        </w:rPr>
        <w:t>інше, передбачене МСБО 24.</w:t>
      </w:r>
    </w:p>
    <w:p w:rsidR="00A2035F" w:rsidRPr="00A63DEB" w:rsidRDefault="00A2035F" w:rsidP="00FC6FA1">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3. Здатність продовжувати діяльність безперервно.</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Фінансова звітність Компанії складена на основі припущення про безперервність.</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вважає що за станом на 31 грудня 201</w:t>
      </w:r>
      <w:r w:rsidRPr="003002D7">
        <w:rPr>
          <w:rFonts w:ascii="Times New Roman" w:hAnsi="Times New Roman"/>
          <w:spacing w:val="-20"/>
          <w:sz w:val="24"/>
          <w:szCs w:val="24"/>
          <w:lang w:val="ru-RU"/>
        </w:rPr>
        <w:t>5</w:t>
      </w:r>
      <w:r w:rsidRPr="00A63DEB">
        <w:rPr>
          <w:rFonts w:ascii="Times New Roman" w:hAnsi="Times New Roman"/>
          <w:spacing w:val="-20"/>
          <w:sz w:val="24"/>
          <w:szCs w:val="24"/>
        </w:rPr>
        <w:t xml:space="preserve"> року не існує подій, умов або ризиків, які окремо або сукупно, можуть поставити під сумнів здатність Компанії продовжувати свою діяльність на безперервній основі. </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рік, що закін</w:t>
      </w:r>
      <w:r>
        <w:rPr>
          <w:rFonts w:ascii="Times New Roman" w:hAnsi="Times New Roman"/>
          <w:spacing w:val="-20"/>
          <w:sz w:val="24"/>
          <w:szCs w:val="24"/>
        </w:rPr>
        <w:t>чився, Компанія визнала  прибуток</w:t>
      </w:r>
      <w:r w:rsidRPr="00A63DEB">
        <w:rPr>
          <w:rFonts w:ascii="Times New Roman" w:hAnsi="Times New Roman"/>
          <w:spacing w:val="-20"/>
          <w:sz w:val="24"/>
          <w:szCs w:val="24"/>
        </w:rPr>
        <w:t xml:space="preserve"> в сумі </w:t>
      </w:r>
      <w:r>
        <w:rPr>
          <w:rFonts w:ascii="Times New Roman" w:hAnsi="Times New Roman"/>
          <w:spacing w:val="-20"/>
          <w:sz w:val="24"/>
          <w:szCs w:val="24"/>
        </w:rPr>
        <w:t xml:space="preserve"> 121  </w:t>
      </w:r>
      <w:r w:rsidRPr="00A63DEB">
        <w:rPr>
          <w:rFonts w:ascii="Times New Roman" w:hAnsi="Times New Roman"/>
          <w:spacing w:val="-20"/>
          <w:sz w:val="24"/>
          <w:szCs w:val="24"/>
        </w:rPr>
        <w:t>тис. грн..  За попередній 201</w:t>
      </w:r>
      <w:r>
        <w:rPr>
          <w:rFonts w:ascii="Times New Roman" w:hAnsi="Times New Roman"/>
          <w:spacing w:val="-20"/>
          <w:sz w:val="24"/>
          <w:szCs w:val="24"/>
        </w:rPr>
        <w:t>4</w:t>
      </w:r>
      <w:r w:rsidRPr="00A63DEB">
        <w:rPr>
          <w:rFonts w:ascii="Times New Roman" w:hAnsi="Times New Roman"/>
          <w:spacing w:val="-20"/>
          <w:sz w:val="24"/>
          <w:szCs w:val="24"/>
        </w:rPr>
        <w:t xml:space="preserve"> фінансовий рік  Компанія  визнала результатом своєї </w:t>
      </w:r>
      <w:r>
        <w:rPr>
          <w:rFonts w:ascii="Times New Roman" w:hAnsi="Times New Roman"/>
          <w:spacing w:val="-20"/>
          <w:sz w:val="24"/>
          <w:szCs w:val="24"/>
        </w:rPr>
        <w:t xml:space="preserve"> діяльності   збиток</w:t>
      </w:r>
      <w:r w:rsidRPr="00A63DEB">
        <w:rPr>
          <w:rFonts w:ascii="Times New Roman" w:hAnsi="Times New Roman"/>
          <w:spacing w:val="-20"/>
          <w:sz w:val="24"/>
          <w:szCs w:val="24"/>
        </w:rPr>
        <w:t xml:space="preserve"> </w:t>
      </w:r>
      <w:r>
        <w:rPr>
          <w:rFonts w:ascii="Times New Roman" w:hAnsi="Times New Roman"/>
          <w:spacing w:val="-20"/>
          <w:sz w:val="24"/>
          <w:szCs w:val="24"/>
        </w:rPr>
        <w:t xml:space="preserve"> </w:t>
      </w:r>
      <w:r w:rsidRPr="00A63DEB">
        <w:rPr>
          <w:rFonts w:ascii="Times New Roman" w:hAnsi="Times New Roman"/>
          <w:spacing w:val="-20"/>
          <w:sz w:val="24"/>
          <w:szCs w:val="24"/>
        </w:rPr>
        <w:t xml:space="preserve">в сумі </w:t>
      </w:r>
      <w:r>
        <w:rPr>
          <w:rFonts w:ascii="Times New Roman" w:hAnsi="Times New Roman"/>
          <w:spacing w:val="-20"/>
          <w:sz w:val="24"/>
          <w:szCs w:val="24"/>
        </w:rPr>
        <w:t xml:space="preserve">  20</w:t>
      </w:r>
      <w:r w:rsidRPr="00A63DEB">
        <w:rPr>
          <w:rFonts w:ascii="Times New Roman" w:hAnsi="Times New Roman"/>
          <w:spacing w:val="-20"/>
          <w:sz w:val="24"/>
          <w:szCs w:val="24"/>
        </w:rPr>
        <w:t xml:space="preserve">тис. грн.. </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планує в 201</w:t>
      </w:r>
      <w:r>
        <w:rPr>
          <w:rFonts w:ascii="Times New Roman" w:hAnsi="Times New Roman"/>
          <w:spacing w:val="-20"/>
          <w:sz w:val="24"/>
          <w:szCs w:val="24"/>
        </w:rPr>
        <w:t xml:space="preserve">6 році  досягти ще більш  </w:t>
      </w:r>
      <w:r w:rsidRPr="00A63DEB">
        <w:rPr>
          <w:rFonts w:ascii="Times New Roman" w:hAnsi="Times New Roman"/>
          <w:spacing w:val="-20"/>
          <w:sz w:val="24"/>
          <w:szCs w:val="24"/>
        </w:rPr>
        <w:t>позитивного фінансового результату.</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Чисті активи Компанії 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визнані в сумі </w:t>
      </w:r>
      <w:r>
        <w:rPr>
          <w:rFonts w:ascii="Times New Roman" w:hAnsi="Times New Roman"/>
          <w:spacing w:val="-20"/>
          <w:sz w:val="24"/>
          <w:szCs w:val="24"/>
        </w:rPr>
        <w:t>3591</w:t>
      </w:r>
      <w:r w:rsidRPr="00A63DEB">
        <w:rPr>
          <w:rFonts w:ascii="Times New Roman" w:hAnsi="Times New Roman"/>
          <w:spacing w:val="-20"/>
          <w:sz w:val="24"/>
          <w:szCs w:val="24"/>
        </w:rPr>
        <w:t xml:space="preserve"> </w:t>
      </w:r>
      <w:r>
        <w:rPr>
          <w:rFonts w:ascii="Times New Roman" w:hAnsi="Times New Roman"/>
          <w:spacing w:val="-20"/>
          <w:sz w:val="24"/>
          <w:szCs w:val="24"/>
        </w:rPr>
        <w:t xml:space="preserve"> </w:t>
      </w:r>
      <w:r w:rsidRPr="00A63DEB">
        <w:rPr>
          <w:rFonts w:ascii="Times New Roman" w:hAnsi="Times New Roman"/>
          <w:spacing w:val="-20"/>
          <w:sz w:val="24"/>
          <w:szCs w:val="24"/>
        </w:rPr>
        <w:t>тис. грн. і розраховані шляхом вирахування із суми поточних і непоточних активів Компанії суми поточних і непоточних зобов’язань Компанії.</w:t>
      </w:r>
    </w:p>
    <w:p w:rsidR="00A2035F" w:rsidRPr="00A63DEB" w:rsidRDefault="00A2035F" w:rsidP="00B8441D">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Для порівняння сума акціонерного капі</w:t>
      </w:r>
      <w:r>
        <w:rPr>
          <w:rFonts w:ascii="Times New Roman" w:hAnsi="Times New Roman"/>
          <w:spacing w:val="-20"/>
          <w:sz w:val="24"/>
          <w:szCs w:val="24"/>
        </w:rPr>
        <w:t>талу за станом на 31 грудня 2015</w:t>
      </w:r>
      <w:r w:rsidRPr="00A63DEB">
        <w:rPr>
          <w:rFonts w:ascii="Times New Roman" w:hAnsi="Times New Roman"/>
          <w:spacing w:val="-20"/>
          <w:sz w:val="24"/>
          <w:szCs w:val="24"/>
        </w:rPr>
        <w:t xml:space="preserve">року становить 286 тис. грн.. Таким чином вартість чистих активів перевищує розмір акціонерного капіталу і є  показником для Компанії вірогідності  продовжувати свою діяльність на безперервній основі. </w:t>
      </w:r>
    </w:p>
    <w:p w:rsidR="00A2035F" w:rsidRPr="00A63DEB" w:rsidRDefault="00A2035F" w:rsidP="00B45773">
      <w:pPr>
        <w:spacing w:before="100" w:beforeAutospacing="1" w:after="100" w:afterAutospacing="1" w:line="240" w:lineRule="auto"/>
        <w:rPr>
          <w:rFonts w:ascii="Times New Roman" w:hAnsi="Times New Roman"/>
          <w:spacing w:val="-20"/>
          <w:sz w:val="24"/>
          <w:szCs w:val="24"/>
        </w:rPr>
      </w:pPr>
    </w:p>
    <w:p w:rsidR="00A2035F" w:rsidRPr="00A63DEB" w:rsidRDefault="00A2035F" w:rsidP="00B03C6C">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4. Основні засоби</w:t>
      </w:r>
      <w:r w:rsidR="00A53BAD">
        <w:rPr>
          <w:rFonts w:ascii="Times New Roman" w:hAnsi="Times New Roman"/>
          <w:b/>
          <w:bCs/>
          <w:i/>
          <w:spacing w:val="-20"/>
          <w:kern w:val="36"/>
          <w:sz w:val="32"/>
          <w:szCs w:val="48"/>
        </w:rPr>
        <w:t xml:space="preserve"> та нематеріальні активи</w:t>
      </w:r>
      <w:r w:rsidRPr="00A63DEB">
        <w:rPr>
          <w:rFonts w:ascii="Times New Roman" w:hAnsi="Times New Roman"/>
          <w:b/>
          <w:bCs/>
          <w:i/>
          <w:spacing w:val="-20"/>
          <w:kern w:val="36"/>
          <w:sz w:val="32"/>
          <w:szCs w:val="48"/>
        </w:rPr>
        <w:t>.</w:t>
      </w:r>
    </w:p>
    <w:p w:rsidR="00A2035F" w:rsidRPr="00A63DEB" w:rsidRDefault="00A2035F" w:rsidP="00B03C6C">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Вартість основних засобів Компанії, згідно обраної моделі «собівартості», за станом на 31 грудня 201</w:t>
      </w:r>
      <w:r>
        <w:rPr>
          <w:rFonts w:ascii="Times New Roman" w:hAnsi="Times New Roman"/>
          <w:bCs/>
          <w:spacing w:val="-20"/>
          <w:kern w:val="36"/>
          <w:sz w:val="24"/>
          <w:szCs w:val="48"/>
        </w:rPr>
        <w:t>5</w:t>
      </w:r>
      <w:r w:rsidR="00AB32CB">
        <w:rPr>
          <w:rFonts w:ascii="Times New Roman" w:hAnsi="Times New Roman"/>
          <w:bCs/>
          <w:spacing w:val="-20"/>
          <w:kern w:val="36"/>
          <w:sz w:val="24"/>
          <w:szCs w:val="48"/>
        </w:rPr>
        <w:t xml:space="preserve"> </w:t>
      </w:r>
      <w:r>
        <w:rPr>
          <w:rFonts w:ascii="Times New Roman" w:hAnsi="Times New Roman"/>
          <w:bCs/>
          <w:spacing w:val="-20"/>
          <w:kern w:val="36"/>
          <w:sz w:val="24"/>
          <w:szCs w:val="48"/>
        </w:rPr>
        <w:t>року визначена в сумі  18484</w:t>
      </w:r>
      <w:r w:rsidRPr="00A63DEB">
        <w:rPr>
          <w:rFonts w:ascii="Times New Roman" w:hAnsi="Times New Roman"/>
          <w:bCs/>
          <w:spacing w:val="-20"/>
          <w:kern w:val="36"/>
          <w:sz w:val="24"/>
          <w:szCs w:val="48"/>
        </w:rPr>
        <w:t>тис. грн.</w:t>
      </w:r>
    </w:p>
    <w:p w:rsidR="00A2035F" w:rsidRPr="00A63DEB" w:rsidRDefault="00A2035F" w:rsidP="00B03C6C">
      <w:pPr>
        <w:spacing w:before="100" w:beforeAutospacing="1" w:after="100" w:afterAutospacing="1" w:line="240" w:lineRule="auto"/>
        <w:outlineLvl w:val="0"/>
        <w:rPr>
          <w:rFonts w:ascii="Times New Roman" w:hAnsi="Times New Roman"/>
          <w:bCs/>
          <w:spacing w:val="-20"/>
          <w:kern w:val="36"/>
          <w:sz w:val="24"/>
          <w:szCs w:val="48"/>
        </w:rPr>
      </w:pPr>
      <w:r>
        <w:rPr>
          <w:rFonts w:ascii="Times New Roman" w:hAnsi="Times New Roman"/>
          <w:bCs/>
          <w:spacing w:val="-20"/>
          <w:kern w:val="36"/>
          <w:sz w:val="24"/>
          <w:szCs w:val="48"/>
        </w:rPr>
        <w:t>Собівартість придбання  –  29171  тис. грн., амортизація –  10687</w:t>
      </w:r>
      <w:r w:rsidRPr="00A63DEB">
        <w:rPr>
          <w:rFonts w:ascii="Times New Roman" w:hAnsi="Times New Roman"/>
          <w:bCs/>
          <w:spacing w:val="-20"/>
          <w:kern w:val="36"/>
          <w:sz w:val="24"/>
          <w:szCs w:val="48"/>
        </w:rPr>
        <w:t xml:space="preserve"> тис. грн.</w:t>
      </w:r>
    </w:p>
    <w:p w:rsidR="00A2035F" w:rsidRPr="00A63DEB" w:rsidRDefault="00A2035F" w:rsidP="00B03C6C">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Основні засоби Компанії згідно груп розподіляються в порівнянні: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2035F" w:rsidRPr="007377FA" w:rsidTr="00A8727B">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Назва</w:t>
            </w:r>
          </w:p>
        </w:tc>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На 31.12.201</w:t>
            </w:r>
            <w:r>
              <w:rPr>
                <w:rFonts w:ascii="Times New Roman" w:hAnsi="Times New Roman"/>
                <w:bCs/>
                <w:color w:val="000000"/>
                <w:spacing w:val="-20"/>
                <w:kern w:val="36"/>
                <w:sz w:val="24"/>
                <w:szCs w:val="48"/>
              </w:rPr>
              <w:t>4</w:t>
            </w:r>
            <w:r w:rsidRPr="00BF6E64">
              <w:rPr>
                <w:rFonts w:ascii="Times New Roman" w:hAnsi="Times New Roman"/>
                <w:bCs/>
                <w:color w:val="000000"/>
                <w:spacing w:val="-20"/>
                <w:kern w:val="36"/>
                <w:sz w:val="24"/>
                <w:szCs w:val="48"/>
              </w:rPr>
              <w:t xml:space="preserve">  року (тис.</w:t>
            </w:r>
            <w:r w:rsidRPr="00BF6E64">
              <w:rPr>
                <w:rFonts w:ascii="Times New Roman" w:hAnsi="Times New Roman"/>
                <w:bCs/>
                <w:color w:val="000000"/>
                <w:spacing w:val="-20"/>
                <w:kern w:val="36"/>
                <w:sz w:val="24"/>
                <w:szCs w:val="48"/>
                <w:lang w:val="en-US"/>
              </w:rPr>
              <w:t xml:space="preserve"> </w:t>
            </w:r>
            <w:r w:rsidRPr="00BF6E64">
              <w:rPr>
                <w:rFonts w:ascii="Times New Roman" w:hAnsi="Times New Roman"/>
                <w:bCs/>
                <w:color w:val="000000"/>
                <w:spacing w:val="-20"/>
                <w:kern w:val="36"/>
                <w:sz w:val="24"/>
                <w:szCs w:val="48"/>
              </w:rPr>
              <w:t>грн.)</w:t>
            </w:r>
          </w:p>
        </w:tc>
        <w:tc>
          <w:tcPr>
            <w:tcW w:w="3191"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На 31.12.201</w:t>
            </w:r>
            <w:r>
              <w:rPr>
                <w:rFonts w:ascii="Times New Roman" w:hAnsi="Times New Roman"/>
                <w:bCs/>
                <w:color w:val="000000"/>
                <w:spacing w:val="-20"/>
                <w:kern w:val="36"/>
                <w:sz w:val="24"/>
                <w:szCs w:val="48"/>
              </w:rPr>
              <w:t>5</w:t>
            </w:r>
            <w:r w:rsidRPr="00BF6E64">
              <w:rPr>
                <w:rFonts w:ascii="Times New Roman" w:hAnsi="Times New Roman"/>
                <w:bCs/>
                <w:color w:val="000000"/>
                <w:spacing w:val="-20"/>
                <w:kern w:val="36"/>
                <w:sz w:val="24"/>
                <w:szCs w:val="48"/>
              </w:rPr>
              <w:t xml:space="preserve"> року (тис.</w:t>
            </w:r>
            <w:r w:rsidRPr="00BF6E64">
              <w:rPr>
                <w:rFonts w:ascii="Times New Roman" w:hAnsi="Times New Roman"/>
                <w:bCs/>
                <w:color w:val="000000"/>
                <w:spacing w:val="-20"/>
                <w:kern w:val="36"/>
                <w:sz w:val="24"/>
                <w:szCs w:val="48"/>
                <w:lang w:val="en-US"/>
              </w:rPr>
              <w:t xml:space="preserve"> </w:t>
            </w:r>
            <w:r w:rsidRPr="00BF6E64">
              <w:rPr>
                <w:rFonts w:ascii="Times New Roman" w:hAnsi="Times New Roman"/>
                <w:bCs/>
                <w:color w:val="000000"/>
                <w:spacing w:val="-20"/>
                <w:kern w:val="36"/>
                <w:sz w:val="24"/>
                <w:szCs w:val="48"/>
              </w:rPr>
              <w:t>грн.)</w:t>
            </w:r>
          </w:p>
        </w:tc>
      </w:tr>
      <w:tr w:rsidR="00A2035F" w:rsidRPr="007377FA" w:rsidTr="00A8727B">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Будівлі, споруди, передавальні пристрої</w:t>
            </w:r>
          </w:p>
        </w:tc>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16001</w:t>
            </w:r>
          </w:p>
        </w:tc>
        <w:tc>
          <w:tcPr>
            <w:tcW w:w="3191" w:type="dxa"/>
          </w:tcPr>
          <w:p w:rsidR="00A2035F" w:rsidRPr="00BF6E64" w:rsidRDefault="00A2035F" w:rsidP="007570FD">
            <w:pPr>
              <w:spacing w:before="100" w:beforeAutospacing="1" w:after="100" w:afterAutospacing="1" w:line="240" w:lineRule="auto"/>
              <w:jc w:val="center"/>
              <w:outlineLvl w:val="0"/>
              <w:rPr>
                <w:rFonts w:ascii="Times New Roman" w:hAnsi="Times New Roman"/>
                <w:bCs/>
                <w:color w:val="000000"/>
                <w:spacing w:val="-20"/>
                <w:kern w:val="36"/>
                <w:sz w:val="24"/>
                <w:szCs w:val="48"/>
              </w:rPr>
            </w:pPr>
            <w:r>
              <w:rPr>
                <w:rFonts w:ascii="Times New Roman" w:hAnsi="Times New Roman"/>
                <w:bCs/>
                <w:color w:val="000000"/>
                <w:spacing w:val="-20"/>
                <w:kern w:val="36"/>
                <w:sz w:val="24"/>
                <w:szCs w:val="48"/>
              </w:rPr>
              <w:t>18472</w:t>
            </w:r>
          </w:p>
        </w:tc>
      </w:tr>
      <w:tr w:rsidR="00A2035F" w:rsidRPr="007377FA" w:rsidTr="00A8727B">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Машини та обладнання</w:t>
            </w:r>
          </w:p>
        </w:tc>
        <w:tc>
          <w:tcPr>
            <w:tcW w:w="3190" w:type="dxa"/>
          </w:tcPr>
          <w:p w:rsidR="00A2035F" w:rsidRPr="00BF6E64" w:rsidRDefault="00A2035F" w:rsidP="007570FD">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16</w:t>
            </w:r>
          </w:p>
        </w:tc>
        <w:tc>
          <w:tcPr>
            <w:tcW w:w="3191" w:type="dxa"/>
          </w:tcPr>
          <w:p w:rsidR="00A2035F" w:rsidRPr="00BF6E64" w:rsidRDefault="00A2035F" w:rsidP="007570FD">
            <w:pPr>
              <w:spacing w:before="100" w:beforeAutospacing="1" w:after="100" w:afterAutospacing="1" w:line="240" w:lineRule="auto"/>
              <w:jc w:val="center"/>
              <w:outlineLvl w:val="0"/>
              <w:rPr>
                <w:rFonts w:ascii="Times New Roman" w:hAnsi="Times New Roman"/>
                <w:bCs/>
                <w:color w:val="000000"/>
                <w:spacing w:val="-20"/>
                <w:kern w:val="36"/>
                <w:sz w:val="24"/>
                <w:szCs w:val="48"/>
              </w:rPr>
            </w:pPr>
            <w:r>
              <w:rPr>
                <w:rFonts w:ascii="Times New Roman" w:hAnsi="Times New Roman"/>
                <w:bCs/>
                <w:color w:val="000000"/>
                <w:spacing w:val="-20"/>
                <w:kern w:val="36"/>
                <w:sz w:val="24"/>
                <w:szCs w:val="48"/>
              </w:rPr>
              <w:t>12</w:t>
            </w:r>
          </w:p>
        </w:tc>
      </w:tr>
      <w:tr w:rsidR="00A2035F" w:rsidRPr="007377FA" w:rsidTr="00A8727B">
        <w:tc>
          <w:tcPr>
            <w:tcW w:w="3190" w:type="dxa"/>
          </w:tcPr>
          <w:p w:rsidR="00A2035F" w:rsidRPr="00BF6E64" w:rsidRDefault="00A2035F">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Інші основні засоби</w:t>
            </w:r>
          </w:p>
        </w:tc>
        <w:tc>
          <w:tcPr>
            <w:tcW w:w="3190" w:type="dxa"/>
          </w:tcPr>
          <w:p w:rsidR="00A2035F" w:rsidRPr="00BF6E64" w:rsidRDefault="00A2035F" w:rsidP="007570FD">
            <w:pPr>
              <w:spacing w:before="100" w:beforeAutospacing="1" w:after="100" w:afterAutospacing="1" w:line="240" w:lineRule="auto"/>
              <w:jc w:val="center"/>
              <w:outlineLvl w:val="0"/>
              <w:rPr>
                <w:rFonts w:ascii="Times New Roman" w:hAnsi="Times New Roman"/>
                <w:bCs/>
                <w:color w:val="000000"/>
                <w:spacing w:val="-20"/>
                <w:kern w:val="36"/>
                <w:sz w:val="24"/>
                <w:szCs w:val="48"/>
              </w:rPr>
            </w:pPr>
            <w:r w:rsidRPr="00BF6E64">
              <w:rPr>
                <w:rFonts w:ascii="Times New Roman" w:hAnsi="Times New Roman"/>
                <w:bCs/>
                <w:color w:val="000000"/>
                <w:spacing w:val="-20"/>
                <w:kern w:val="36"/>
                <w:sz w:val="24"/>
                <w:szCs w:val="48"/>
              </w:rPr>
              <w:t>26</w:t>
            </w:r>
          </w:p>
        </w:tc>
        <w:tc>
          <w:tcPr>
            <w:tcW w:w="3191" w:type="dxa"/>
          </w:tcPr>
          <w:p w:rsidR="00A2035F" w:rsidRPr="00BF6E64" w:rsidRDefault="00A2035F" w:rsidP="007570FD">
            <w:pPr>
              <w:spacing w:before="100" w:beforeAutospacing="1" w:after="100" w:afterAutospacing="1" w:line="240" w:lineRule="auto"/>
              <w:jc w:val="center"/>
              <w:outlineLvl w:val="0"/>
              <w:rPr>
                <w:rFonts w:ascii="Times New Roman" w:hAnsi="Times New Roman"/>
                <w:bCs/>
                <w:color w:val="000000"/>
                <w:spacing w:val="-20"/>
                <w:kern w:val="36"/>
                <w:sz w:val="24"/>
                <w:szCs w:val="48"/>
              </w:rPr>
            </w:pPr>
            <w:r>
              <w:rPr>
                <w:rFonts w:ascii="Times New Roman" w:hAnsi="Times New Roman"/>
                <w:bCs/>
                <w:color w:val="000000"/>
                <w:spacing w:val="-20"/>
                <w:kern w:val="36"/>
                <w:sz w:val="24"/>
                <w:szCs w:val="48"/>
              </w:rPr>
              <w:t>0</w:t>
            </w:r>
          </w:p>
        </w:tc>
      </w:tr>
    </w:tbl>
    <w:p w:rsidR="00A2035F" w:rsidRPr="007377FA" w:rsidRDefault="00A2035F" w:rsidP="00B03C6C">
      <w:pPr>
        <w:spacing w:before="100" w:beforeAutospacing="1" w:after="100" w:afterAutospacing="1" w:line="240" w:lineRule="auto"/>
        <w:outlineLvl w:val="0"/>
        <w:rPr>
          <w:rFonts w:ascii="Times New Roman" w:hAnsi="Times New Roman"/>
          <w:bCs/>
          <w:color w:val="000000"/>
          <w:spacing w:val="-20"/>
          <w:kern w:val="36"/>
          <w:sz w:val="24"/>
          <w:szCs w:val="48"/>
        </w:rPr>
      </w:pPr>
    </w:p>
    <w:p w:rsidR="00A2035F" w:rsidRDefault="00A2035F" w:rsidP="00313A6A">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 xml:space="preserve">За період </w:t>
      </w:r>
      <w:r>
        <w:rPr>
          <w:rFonts w:ascii="Times New Roman" w:hAnsi="Times New Roman"/>
          <w:bCs/>
          <w:spacing w:val="-20"/>
          <w:kern w:val="36"/>
          <w:sz w:val="24"/>
          <w:szCs w:val="48"/>
        </w:rPr>
        <w:t xml:space="preserve"> </w:t>
      </w:r>
      <w:r w:rsidRPr="00A63DEB">
        <w:rPr>
          <w:rFonts w:ascii="Times New Roman" w:hAnsi="Times New Roman"/>
          <w:bCs/>
          <w:spacing w:val="-20"/>
          <w:kern w:val="36"/>
          <w:sz w:val="24"/>
          <w:szCs w:val="48"/>
        </w:rPr>
        <w:t>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року  Компанія провела р</w:t>
      </w:r>
      <w:r>
        <w:rPr>
          <w:rFonts w:ascii="Times New Roman" w:hAnsi="Times New Roman"/>
          <w:bCs/>
          <w:spacing w:val="-20"/>
          <w:kern w:val="36"/>
          <w:sz w:val="24"/>
          <w:szCs w:val="48"/>
        </w:rPr>
        <w:t>еконструкцію кар’єру на суму 2376  тис. грн., придбання О</w:t>
      </w:r>
      <w:r w:rsidR="00A53BAD">
        <w:rPr>
          <w:rFonts w:ascii="Times New Roman" w:hAnsi="Times New Roman"/>
          <w:bCs/>
          <w:spacing w:val="-20"/>
          <w:kern w:val="36"/>
          <w:sz w:val="24"/>
          <w:szCs w:val="48"/>
        </w:rPr>
        <w:t>С- 350 тис.грн , капремонтів на 173,0  тис</w:t>
      </w:r>
      <w:r>
        <w:rPr>
          <w:rFonts w:ascii="Times New Roman" w:hAnsi="Times New Roman"/>
          <w:bCs/>
          <w:spacing w:val="-20"/>
          <w:kern w:val="36"/>
          <w:sz w:val="24"/>
          <w:szCs w:val="48"/>
        </w:rPr>
        <w:t>.грн.</w:t>
      </w:r>
    </w:p>
    <w:p w:rsidR="00A53BAD" w:rsidRPr="00A63DEB" w:rsidRDefault="00A53BAD" w:rsidP="00313A6A">
      <w:pPr>
        <w:spacing w:before="100" w:beforeAutospacing="1" w:after="100" w:afterAutospacing="1" w:line="240" w:lineRule="auto"/>
        <w:outlineLvl w:val="0"/>
        <w:rPr>
          <w:rFonts w:ascii="Times New Roman" w:hAnsi="Times New Roman"/>
          <w:bCs/>
          <w:spacing w:val="-20"/>
          <w:kern w:val="36"/>
          <w:sz w:val="24"/>
          <w:szCs w:val="48"/>
        </w:rPr>
      </w:pPr>
    </w:p>
    <w:p w:rsidR="00A2035F" w:rsidRPr="00A63DEB" w:rsidRDefault="00A2035F" w:rsidP="009C1769">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За період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року  в зв`язку з продажем та ліквідацією вибули основні засоби, що не мали залишкової вартості. </w:t>
      </w:r>
    </w:p>
    <w:p w:rsidR="00A2035F" w:rsidRPr="00A63DEB" w:rsidRDefault="00A2035F" w:rsidP="00E05D91">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 xml:space="preserve">За звітний період Компанія нарахувала амортизації в сумі  </w:t>
      </w:r>
      <w:r w:rsidR="00AB32CB">
        <w:rPr>
          <w:rFonts w:ascii="Times New Roman" w:hAnsi="Times New Roman"/>
          <w:bCs/>
          <w:spacing w:val="-20"/>
          <w:kern w:val="36"/>
          <w:sz w:val="24"/>
          <w:szCs w:val="48"/>
        </w:rPr>
        <w:t>410</w:t>
      </w:r>
      <w:r w:rsidRPr="00A63DEB">
        <w:rPr>
          <w:rFonts w:ascii="Times New Roman" w:hAnsi="Times New Roman"/>
          <w:bCs/>
          <w:spacing w:val="-20"/>
          <w:kern w:val="36"/>
          <w:sz w:val="24"/>
          <w:szCs w:val="48"/>
        </w:rPr>
        <w:t xml:space="preserve">  тис. грн..</w:t>
      </w:r>
    </w:p>
    <w:p w:rsidR="00A2035F" w:rsidRPr="00A63DEB" w:rsidRDefault="00A2035F" w:rsidP="00B03C6C">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Компанія володіє всіма правами на свої основні засоби.</w:t>
      </w:r>
    </w:p>
    <w:p w:rsidR="00A2035F" w:rsidRPr="00A63DEB" w:rsidRDefault="00A2035F" w:rsidP="00B72EBD">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 xml:space="preserve"> </w:t>
      </w:r>
      <w:r w:rsidR="00A53BAD">
        <w:rPr>
          <w:rFonts w:ascii="Times New Roman" w:hAnsi="Times New Roman"/>
          <w:bCs/>
          <w:spacing w:val="-20"/>
          <w:kern w:val="36"/>
          <w:sz w:val="24"/>
          <w:szCs w:val="48"/>
        </w:rPr>
        <w:t>За період 2015 року Компанія придбала нематеріальних активів на суму 975 тис. грн..</w:t>
      </w:r>
    </w:p>
    <w:p w:rsidR="00A2035F" w:rsidRPr="00A63DEB" w:rsidRDefault="00A2035F" w:rsidP="000F2CCF">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5. Запаси.</w:t>
      </w:r>
    </w:p>
    <w:p w:rsidR="00A2035F" w:rsidRPr="00A63DEB" w:rsidRDefault="00A2035F" w:rsidP="000F2CCF">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За станом на 31 грудня 201</w:t>
      </w:r>
      <w:r>
        <w:rPr>
          <w:rFonts w:ascii="Times New Roman" w:hAnsi="Times New Roman"/>
          <w:bCs/>
          <w:spacing w:val="-20"/>
          <w:kern w:val="36"/>
          <w:sz w:val="24"/>
          <w:szCs w:val="48"/>
        </w:rPr>
        <w:t xml:space="preserve">5 </w:t>
      </w:r>
      <w:r w:rsidRPr="00A63DEB">
        <w:rPr>
          <w:rFonts w:ascii="Times New Roman" w:hAnsi="Times New Roman"/>
          <w:bCs/>
          <w:spacing w:val="-20"/>
          <w:kern w:val="36"/>
          <w:sz w:val="24"/>
          <w:szCs w:val="48"/>
        </w:rPr>
        <w:t xml:space="preserve">року компанія визнає у складі поточних активів запаси в сумі </w:t>
      </w:r>
      <w:r>
        <w:rPr>
          <w:rFonts w:ascii="Times New Roman" w:hAnsi="Times New Roman"/>
          <w:bCs/>
          <w:spacing w:val="-20"/>
          <w:kern w:val="36"/>
          <w:sz w:val="24"/>
          <w:szCs w:val="48"/>
        </w:rPr>
        <w:t xml:space="preserve">  2274</w:t>
      </w:r>
      <w:r w:rsidRPr="00A63DEB">
        <w:rPr>
          <w:rFonts w:ascii="Times New Roman" w:hAnsi="Times New Roman"/>
          <w:bCs/>
          <w:spacing w:val="-20"/>
          <w:kern w:val="36"/>
          <w:sz w:val="24"/>
          <w:szCs w:val="48"/>
        </w:rPr>
        <w:t xml:space="preserve">  тис. грн.. </w:t>
      </w:r>
    </w:p>
    <w:p w:rsidR="00A2035F" w:rsidRPr="00A63DEB" w:rsidRDefault="00A2035F" w:rsidP="000F2CCF">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Запаси Компанії відображені у фінансовій звітності за справедливою вартістю.</w:t>
      </w:r>
    </w:p>
    <w:p w:rsidR="00A2035F" w:rsidRPr="00A63DEB" w:rsidRDefault="00A2035F" w:rsidP="000F2CCF">
      <w:pPr>
        <w:spacing w:before="100" w:beforeAutospacing="1" w:after="100" w:afterAutospacing="1" w:line="240" w:lineRule="auto"/>
        <w:outlineLvl w:val="0"/>
        <w:rPr>
          <w:rFonts w:ascii="Times New Roman" w:hAnsi="Times New Roman"/>
          <w:bCs/>
          <w:spacing w:val="-20"/>
          <w:kern w:val="36"/>
          <w:sz w:val="24"/>
          <w:szCs w:val="48"/>
        </w:rPr>
      </w:pPr>
      <w:r w:rsidRPr="00A63DEB">
        <w:rPr>
          <w:rFonts w:ascii="Times New Roman" w:hAnsi="Times New Roman"/>
          <w:bCs/>
          <w:spacing w:val="-20"/>
          <w:kern w:val="36"/>
          <w:sz w:val="24"/>
          <w:szCs w:val="48"/>
        </w:rPr>
        <w:t>Запаси за чистою вартістю реалізації за станом на 31 грудня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року не відображені.</w:t>
      </w:r>
    </w:p>
    <w:p w:rsidR="00A2035F" w:rsidRPr="00A63DEB" w:rsidRDefault="00A2035F" w:rsidP="00C738F1">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класифікує запаси у відповідності до обраної облікової політики та визначає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такі класи запасів:</w:t>
      </w:r>
    </w:p>
    <w:p w:rsidR="00A2035F" w:rsidRDefault="00A2035F" w:rsidP="00B22703">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готова продукція – </w:t>
      </w:r>
      <w:r>
        <w:rPr>
          <w:rFonts w:ascii="Times New Roman" w:hAnsi="Times New Roman"/>
          <w:spacing w:val="-20"/>
          <w:sz w:val="24"/>
          <w:szCs w:val="24"/>
        </w:rPr>
        <w:t xml:space="preserve"> 1036</w:t>
      </w:r>
      <w:r w:rsidRPr="00A63DEB">
        <w:rPr>
          <w:rFonts w:ascii="Times New Roman" w:hAnsi="Times New Roman"/>
          <w:spacing w:val="-20"/>
          <w:sz w:val="24"/>
          <w:szCs w:val="24"/>
        </w:rPr>
        <w:t xml:space="preserve"> тис. грн.</w:t>
      </w:r>
    </w:p>
    <w:p w:rsidR="00A2035F" w:rsidRPr="00A63DEB" w:rsidRDefault="00A2035F" w:rsidP="00B22703">
      <w:pPr>
        <w:numPr>
          <w:ilvl w:val="0"/>
          <w:numId w:val="1"/>
        </w:numPr>
        <w:spacing w:before="100" w:beforeAutospacing="1" w:after="100" w:afterAutospacing="1" w:line="240" w:lineRule="auto"/>
        <w:rPr>
          <w:rFonts w:ascii="Times New Roman" w:hAnsi="Times New Roman"/>
          <w:spacing w:val="-20"/>
          <w:sz w:val="24"/>
          <w:szCs w:val="24"/>
        </w:rPr>
      </w:pPr>
      <w:r>
        <w:rPr>
          <w:rFonts w:ascii="Times New Roman" w:hAnsi="Times New Roman"/>
          <w:spacing w:val="-20"/>
          <w:sz w:val="24"/>
          <w:szCs w:val="24"/>
        </w:rPr>
        <w:t>незавершене виробництво – 1238 тис. грн</w:t>
      </w:r>
      <w:r w:rsidRPr="00A63DEB">
        <w:rPr>
          <w:rFonts w:ascii="Times New Roman" w:hAnsi="Times New Roman"/>
          <w:spacing w:val="-20"/>
          <w:sz w:val="24"/>
          <w:szCs w:val="24"/>
        </w:rPr>
        <w:t>.</w:t>
      </w:r>
    </w:p>
    <w:p w:rsidR="00A2035F" w:rsidRPr="00A63DEB" w:rsidRDefault="00A2035F" w:rsidP="0023772C">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відповідності  до обраної облікової політики Компанія визначає собівартість запасів  за формулою ФІФО. Таким чином одиниці запасів, які залишилися 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w:t>
      </w:r>
      <w:r>
        <w:rPr>
          <w:rFonts w:ascii="Times New Roman" w:hAnsi="Times New Roman"/>
          <w:spacing w:val="-20"/>
          <w:sz w:val="24"/>
          <w:szCs w:val="24"/>
        </w:rPr>
        <w:t xml:space="preserve"> </w:t>
      </w:r>
      <w:r w:rsidRPr="00A63DEB">
        <w:rPr>
          <w:rFonts w:ascii="Times New Roman" w:hAnsi="Times New Roman"/>
          <w:spacing w:val="-20"/>
          <w:sz w:val="24"/>
          <w:szCs w:val="24"/>
        </w:rPr>
        <w:t>року  є такими, що були придбані останніми.</w:t>
      </w:r>
    </w:p>
    <w:p w:rsidR="00A2035F" w:rsidRPr="00A63DEB" w:rsidRDefault="00A2035F" w:rsidP="0023772C">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застосовує дану формулу до всіх запасів, що визнані в залишках на 31 грудня 201</w:t>
      </w:r>
      <w:r>
        <w:rPr>
          <w:rFonts w:ascii="Times New Roman" w:hAnsi="Times New Roman"/>
          <w:spacing w:val="-20"/>
          <w:sz w:val="24"/>
          <w:szCs w:val="24"/>
        </w:rPr>
        <w:t>5</w:t>
      </w:r>
      <w:r w:rsidR="00907A65">
        <w:rPr>
          <w:rFonts w:ascii="Times New Roman" w:hAnsi="Times New Roman"/>
          <w:spacing w:val="-20"/>
          <w:sz w:val="24"/>
          <w:szCs w:val="24"/>
        </w:rPr>
        <w:t xml:space="preserve"> </w:t>
      </w:r>
      <w:r w:rsidRPr="00A63DEB">
        <w:rPr>
          <w:rFonts w:ascii="Times New Roman" w:hAnsi="Times New Roman"/>
          <w:spacing w:val="-20"/>
          <w:sz w:val="24"/>
          <w:szCs w:val="24"/>
        </w:rPr>
        <w:t>року.</w:t>
      </w:r>
    </w:p>
    <w:p w:rsidR="00A2035F" w:rsidRPr="00A63DEB" w:rsidRDefault="00A2035F" w:rsidP="0023772C">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Балансова вартість запасів, котрі реалізовані, визнається витратами періоду, в якому визнається відповідний дохід</w:t>
      </w:r>
      <w:r w:rsidR="00907A65">
        <w:rPr>
          <w:rFonts w:ascii="Times New Roman" w:hAnsi="Times New Roman"/>
          <w:spacing w:val="-20"/>
          <w:sz w:val="24"/>
          <w:szCs w:val="24"/>
        </w:rPr>
        <w:t>. За 2015</w:t>
      </w:r>
      <w:r w:rsidRPr="00570587">
        <w:rPr>
          <w:rFonts w:ascii="Times New Roman" w:hAnsi="Times New Roman"/>
          <w:spacing w:val="-20"/>
          <w:sz w:val="24"/>
          <w:szCs w:val="24"/>
        </w:rPr>
        <w:t xml:space="preserve"> рік Компанія визнає  </w:t>
      </w:r>
      <w:r w:rsidR="00570587">
        <w:rPr>
          <w:rFonts w:ascii="Times New Roman" w:hAnsi="Times New Roman"/>
          <w:spacing w:val="-20"/>
          <w:sz w:val="24"/>
          <w:szCs w:val="24"/>
        </w:rPr>
        <w:t xml:space="preserve">10161 </w:t>
      </w:r>
      <w:r w:rsidRPr="00A63DEB">
        <w:rPr>
          <w:rFonts w:ascii="Times New Roman" w:hAnsi="Times New Roman"/>
          <w:spacing w:val="-20"/>
          <w:sz w:val="24"/>
          <w:szCs w:val="24"/>
        </w:rPr>
        <w:t xml:space="preserve"> тис. грн. запасів, що визнані витратами періоду. </w:t>
      </w:r>
    </w:p>
    <w:p w:rsidR="00A2035F" w:rsidRPr="00A63DEB" w:rsidRDefault="00A2035F" w:rsidP="00B31FA0">
      <w:pPr>
        <w:spacing w:before="100" w:beforeAutospacing="1" w:after="100" w:afterAutospacing="1" w:line="240" w:lineRule="auto"/>
        <w:outlineLvl w:val="0"/>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6. Фінансові інструменти.</w:t>
      </w:r>
    </w:p>
    <w:p w:rsidR="00A2035F" w:rsidRPr="00A63DEB" w:rsidRDefault="00A2035F" w:rsidP="00F328B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оцінює  та подає  інформацію щодо фінансових інструментів у відповідності до МСБО 39  «Фінансові інструменти : визнання та оцінка» та МСБО 32  «Фінансові інструменти: подання», МСФЗ 7 «Фінансові інструменти: розкриття інформації», МСФЗ 9 «Фінансові інструменти».</w:t>
      </w:r>
    </w:p>
    <w:p w:rsidR="00A2035F" w:rsidRPr="00A63DEB" w:rsidRDefault="00A2035F" w:rsidP="00F328B6">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за 201</w:t>
      </w:r>
      <w:r>
        <w:rPr>
          <w:rFonts w:ascii="Times New Roman" w:hAnsi="Times New Roman"/>
          <w:spacing w:val="-20"/>
          <w:sz w:val="24"/>
          <w:szCs w:val="24"/>
        </w:rPr>
        <w:t>5</w:t>
      </w:r>
      <w:r w:rsidRPr="00A63DEB">
        <w:rPr>
          <w:rFonts w:ascii="Times New Roman" w:hAnsi="Times New Roman"/>
          <w:spacing w:val="-20"/>
          <w:sz w:val="24"/>
          <w:szCs w:val="24"/>
        </w:rPr>
        <w:t xml:space="preserve"> рік визнала  фінансовим інструментом будь-який контракт, який приводить до виникнення фінансового активу у одного суб`єкта господарювання та фінансового зобов`язання або інструмента капіталу, у іншого суб`єкта господарювання.</w:t>
      </w:r>
    </w:p>
    <w:p w:rsidR="00A2035F" w:rsidRPr="00A63DEB" w:rsidRDefault="00A2035F" w:rsidP="00F2683A">
      <w:pPr>
        <w:spacing w:before="100" w:beforeAutospacing="1" w:after="100" w:afterAutospacing="1" w:line="240" w:lineRule="auto"/>
        <w:rPr>
          <w:rFonts w:ascii="Times New Roman" w:hAnsi="Times New Roman"/>
          <w:b/>
          <w:spacing w:val="-20"/>
          <w:sz w:val="24"/>
          <w:szCs w:val="24"/>
        </w:rPr>
      </w:pPr>
      <w:r w:rsidRPr="00A63DEB">
        <w:rPr>
          <w:rFonts w:ascii="Times New Roman" w:hAnsi="Times New Roman"/>
          <w:b/>
          <w:spacing w:val="-20"/>
          <w:sz w:val="24"/>
          <w:szCs w:val="24"/>
        </w:rPr>
        <w:t>За станом на 31 грудня 201</w:t>
      </w:r>
      <w:r>
        <w:rPr>
          <w:rFonts w:ascii="Times New Roman" w:hAnsi="Times New Roman"/>
          <w:b/>
          <w:spacing w:val="-20"/>
          <w:sz w:val="24"/>
          <w:szCs w:val="24"/>
        </w:rPr>
        <w:t>5</w:t>
      </w:r>
      <w:r w:rsidRPr="00A63DEB">
        <w:rPr>
          <w:rFonts w:ascii="Times New Roman" w:hAnsi="Times New Roman"/>
          <w:b/>
          <w:spacing w:val="-20"/>
          <w:sz w:val="24"/>
          <w:szCs w:val="24"/>
        </w:rPr>
        <w:t xml:space="preserve"> року Компанія визнає такі поточні фінансові активи: </w:t>
      </w:r>
    </w:p>
    <w:p w:rsidR="00A2035F" w:rsidRPr="00A63DEB" w:rsidRDefault="00A2035F" w:rsidP="00B2270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Pr>
          <w:rFonts w:ascii="Times New Roman" w:hAnsi="Times New Roman"/>
          <w:spacing w:val="-20"/>
          <w:sz w:val="24"/>
          <w:szCs w:val="24"/>
        </w:rPr>
        <w:t>5</w:t>
      </w:r>
      <w:r w:rsidR="00DA3206">
        <w:rPr>
          <w:rFonts w:ascii="Times New Roman" w:hAnsi="Times New Roman"/>
          <w:spacing w:val="-20"/>
          <w:sz w:val="24"/>
          <w:szCs w:val="24"/>
        </w:rPr>
        <w:t xml:space="preserve"> </w:t>
      </w:r>
      <w:r w:rsidRPr="00A63DEB">
        <w:rPr>
          <w:rFonts w:ascii="Times New Roman" w:hAnsi="Times New Roman"/>
          <w:spacing w:val="-20"/>
          <w:sz w:val="24"/>
          <w:szCs w:val="24"/>
        </w:rPr>
        <w:t xml:space="preserve">року Компанія визнає поточну торговельну дебіторську заборгованість в сумі  </w:t>
      </w:r>
      <w:r>
        <w:rPr>
          <w:rFonts w:ascii="Times New Roman" w:hAnsi="Times New Roman"/>
          <w:spacing w:val="-20"/>
          <w:sz w:val="24"/>
          <w:szCs w:val="24"/>
        </w:rPr>
        <w:t>3345</w:t>
      </w:r>
      <w:r w:rsidRPr="00CE5B59">
        <w:rPr>
          <w:rFonts w:ascii="Times New Roman" w:hAnsi="Times New Roman"/>
          <w:spacing w:val="-20"/>
          <w:sz w:val="24"/>
          <w:szCs w:val="24"/>
        </w:rPr>
        <w:t xml:space="preserve"> тис</w:t>
      </w:r>
      <w:r w:rsidRPr="00A63DEB">
        <w:rPr>
          <w:rFonts w:ascii="Times New Roman" w:hAnsi="Times New Roman"/>
          <w:spacing w:val="-20"/>
          <w:sz w:val="24"/>
          <w:szCs w:val="24"/>
        </w:rPr>
        <w:t>. грн., котра</w:t>
      </w:r>
      <w:r>
        <w:rPr>
          <w:rFonts w:ascii="Times New Roman" w:hAnsi="Times New Roman"/>
          <w:spacing w:val="-20"/>
          <w:sz w:val="24"/>
          <w:szCs w:val="24"/>
        </w:rPr>
        <w:t xml:space="preserve"> </w:t>
      </w:r>
      <w:r w:rsidRPr="00A63DEB">
        <w:rPr>
          <w:rFonts w:ascii="Times New Roman" w:hAnsi="Times New Roman"/>
          <w:spacing w:val="-20"/>
          <w:sz w:val="24"/>
          <w:szCs w:val="24"/>
        </w:rPr>
        <w:t xml:space="preserve"> виникла як контрактне право отримувати грошові </w:t>
      </w:r>
      <w:r>
        <w:rPr>
          <w:rFonts w:ascii="Times New Roman" w:hAnsi="Times New Roman"/>
          <w:spacing w:val="-20"/>
          <w:sz w:val="24"/>
          <w:szCs w:val="24"/>
        </w:rPr>
        <w:t xml:space="preserve"> </w:t>
      </w:r>
      <w:r w:rsidRPr="00A63DEB">
        <w:rPr>
          <w:rFonts w:ascii="Times New Roman" w:hAnsi="Times New Roman"/>
          <w:spacing w:val="-20"/>
          <w:sz w:val="24"/>
          <w:szCs w:val="24"/>
        </w:rPr>
        <w:t>кошти за реалізовану продукцію, реалізовані товари, надані послуги.</w:t>
      </w:r>
    </w:p>
    <w:p w:rsidR="00A2035F" w:rsidRPr="00A63DEB" w:rsidRDefault="00A2035F" w:rsidP="004D0BC0">
      <w:pPr>
        <w:spacing w:before="100" w:beforeAutospacing="1" w:after="100" w:afterAutospacing="1" w:line="240" w:lineRule="auto"/>
        <w:rPr>
          <w:rFonts w:ascii="Times New Roman" w:hAnsi="Times New Roman"/>
          <w:spacing w:val="-20"/>
          <w:sz w:val="24"/>
          <w:szCs w:val="24"/>
        </w:rPr>
      </w:pPr>
    </w:p>
    <w:p w:rsidR="00A2035F" w:rsidRPr="00A63DEB" w:rsidRDefault="00A2035F" w:rsidP="007570FD">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Аванси з податків та інших платежів, крім податку на прибуток,  в сумі </w:t>
      </w:r>
      <w:r>
        <w:rPr>
          <w:rFonts w:ascii="Times New Roman" w:hAnsi="Times New Roman"/>
          <w:spacing w:val="-20"/>
          <w:sz w:val="24"/>
          <w:szCs w:val="24"/>
        </w:rPr>
        <w:t xml:space="preserve"> -</w:t>
      </w:r>
      <w:r w:rsidRPr="00A63DEB">
        <w:rPr>
          <w:rFonts w:ascii="Times New Roman" w:hAnsi="Times New Roman"/>
          <w:spacing w:val="-20"/>
          <w:sz w:val="24"/>
          <w:szCs w:val="24"/>
        </w:rPr>
        <w:t xml:space="preserve">  </w:t>
      </w:r>
      <w:r>
        <w:rPr>
          <w:rFonts w:ascii="Times New Roman" w:hAnsi="Times New Roman"/>
          <w:spacing w:val="-20"/>
          <w:sz w:val="24"/>
          <w:szCs w:val="24"/>
        </w:rPr>
        <w:t xml:space="preserve">99 </w:t>
      </w:r>
      <w:r w:rsidRPr="00A63DEB">
        <w:rPr>
          <w:rFonts w:ascii="Times New Roman" w:hAnsi="Times New Roman"/>
          <w:spacing w:val="-20"/>
          <w:sz w:val="24"/>
          <w:szCs w:val="24"/>
        </w:rPr>
        <w:t>тис. грн.</w:t>
      </w:r>
      <w:r>
        <w:rPr>
          <w:rFonts w:ascii="Times New Roman" w:hAnsi="Times New Roman"/>
          <w:spacing w:val="-20"/>
          <w:sz w:val="24"/>
          <w:szCs w:val="24"/>
        </w:rPr>
        <w:t>. З податку на прибуток  в сумі  - 32 тис. грн..</w:t>
      </w:r>
    </w:p>
    <w:p w:rsidR="00A2035F" w:rsidRPr="00A63DEB" w:rsidRDefault="00A2035F" w:rsidP="00F2683A">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Інша поточна дебіторська заборгованість Компанії на 31</w:t>
      </w:r>
      <w:r w:rsidR="00570587">
        <w:rPr>
          <w:rFonts w:ascii="Times New Roman" w:hAnsi="Times New Roman"/>
          <w:spacing w:val="-20"/>
          <w:sz w:val="24"/>
          <w:szCs w:val="24"/>
        </w:rPr>
        <w:t xml:space="preserve"> грудня 2015</w:t>
      </w:r>
      <w:r w:rsidRPr="00A63DEB">
        <w:rPr>
          <w:rFonts w:ascii="Times New Roman" w:hAnsi="Times New Roman"/>
          <w:spacing w:val="-20"/>
          <w:sz w:val="24"/>
          <w:szCs w:val="24"/>
        </w:rPr>
        <w:t xml:space="preserve"> року складає 1</w:t>
      </w:r>
      <w:r>
        <w:rPr>
          <w:rFonts w:ascii="Times New Roman" w:hAnsi="Times New Roman"/>
          <w:spacing w:val="-20"/>
          <w:sz w:val="24"/>
          <w:szCs w:val="24"/>
        </w:rPr>
        <w:t>98</w:t>
      </w:r>
      <w:r w:rsidRPr="00A63DEB">
        <w:rPr>
          <w:rFonts w:ascii="Times New Roman" w:hAnsi="Times New Roman"/>
          <w:spacing w:val="-20"/>
          <w:sz w:val="24"/>
          <w:szCs w:val="24"/>
        </w:rPr>
        <w:t xml:space="preserve"> тис. грн..</w:t>
      </w:r>
    </w:p>
    <w:p w:rsidR="00A2035F" w:rsidRPr="00A63DEB" w:rsidRDefault="00A2035F" w:rsidP="008234CC">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за станом на 31 грудня 201</w:t>
      </w:r>
      <w:r w:rsidR="00570587">
        <w:rPr>
          <w:rFonts w:ascii="Times New Roman" w:hAnsi="Times New Roman"/>
          <w:spacing w:val="-20"/>
          <w:sz w:val="24"/>
          <w:szCs w:val="24"/>
        </w:rPr>
        <w:t>5</w:t>
      </w:r>
      <w:r w:rsidRPr="00A63DEB">
        <w:rPr>
          <w:rFonts w:ascii="Times New Roman" w:hAnsi="Times New Roman"/>
          <w:spacing w:val="-20"/>
          <w:sz w:val="24"/>
          <w:szCs w:val="24"/>
        </w:rPr>
        <w:t xml:space="preserve"> року поточним фінансовим активом грошові кошти, що знаходяться на поточних рахунках банківських установ  Компанії в сумі </w:t>
      </w:r>
      <w:r>
        <w:rPr>
          <w:rFonts w:ascii="Times New Roman" w:hAnsi="Times New Roman"/>
          <w:spacing w:val="-20"/>
          <w:sz w:val="24"/>
          <w:szCs w:val="24"/>
        </w:rPr>
        <w:t>6</w:t>
      </w:r>
      <w:r w:rsidRPr="00A63DEB">
        <w:rPr>
          <w:rFonts w:ascii="Times New Roman" w:hAnsi="Times New Roman"/>
          <w:spacing w:val="-20"/>
          <w:sz w:val="24"/>
          <w:szCs w:val="24"/>
        </w:rPr>
        <w:t xml:space="preserve"> тис. грн.:</w:t>
      </w:r>
    </w:p>
    <w:p w:rsidR="00A2035F" w:rsidRPr="00A63DEB" w:rsidRDefault="00A2035F" w:rsidP="004D0BC0">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в національній валюті – </w:t>
      </w:r>
      <w:r>
        <w:rPr>
          <w:rFonts w:ascii="Times New Roman" w:hAnsi="Times New Roman"/>
          <w:spacing w:val="-20"/>
          <w:sz w:val="24"/>
          <w:szCs w:val="24"/>
        </w:rPr>
        <w:t>6</w:t>
      </w:r>
      <w:r w:rsidRPr="00A63DEB">
        <w:rPr>
          <w:rFonts w:ascii="Times New Roman" w:hAnsi="Times New Roman"/>
          <w:spacing w:val="-20"/>
          <w:sz w:val="24"/>
          <w:szCs w:val="24"/>
        </w:rPr>
        <w:t xml:space="preserve"> тис. грн..</w:t>
      </w:r>
    </w:p>
    <w:p w:rsidR="00A2035F" w:rsidRPr="00A63DEB" w:rsidRDefault="00A2035F" w:rsidP="004D0BC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грошові кошти Компанії зосереджені таким чином:</w:t>
      </w:r>
    </w:p>
    <w:p w:rsidR="00A2035F" w:rsidRPr="00A63DEB" w:rsidRDefault="00A2035F" w:rsidP="00F75D02">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на поточному рахунку в банку – </w:t>
      </w:r>
      <w:r>
        <w:rPr>
          <w:rFonts w:ascii="Times New Roman" w:hAnsi="Times New Roman"/>
          <w:spacing w:val="-20"/>
          <w:sz w:val="24"/>
          <w:szCs w:val="24"/>
        </w:rPr>
        <w:t>6</w:t>
      </w:r>
      <w:r w:rsidRPr="00A63DEB">
        <w:rPr>
          <w:rFonts w:ascii="Times New Roman" w:hAnsi="Times New Roman"/>
          <w:spacing w:val="-20"/>
          <w:sz w:val="24"/>
          <w:szCs w:val="24"/>
        </w:rPr>
        <w:t xml:space="preserve"> тис. грн..</w:t>
      </w:r>
    </w:p>
    <w:p w:rsidR="00A2035F" w:rsidRPr="00A63DEB" w:rsidRDefault="00A2035F" w:rsidP="008B5E8A">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sidR="00570587">
        <w:rPr>
          <w:rFonts w:ascii="Times New Roman" w:hAnsi="Times New Roman"/>
          <w:spacing w:val="-20"/>
          <w:sz w:val="24"/>
          <w:szCs w:val="24"/>
        </w:rPr>
        <w:t xml:space="preserve">5 </w:t>
      </w:r>
      <w:r>
        <w:rPr>
          <w:rFonts w:ascii="Times New Roman" w:hAnsi="Times New Roman"/>
          <w:spacing w:val="-20"/>
          <w:sz w:val="24"/>
          <w:szCs w:val="24"/>
        </w:rPr>
        <w:t xml:space="preserve"> </w:t>
      </w:r>
      <w:r w:rsidRPr="00A63DEB">
        <w:rPr>
          <w:rFonts w:ascii="Times New Roman" w:hAnsi="Times New Roman"/>
          <w:spacing w:val="-20"/>
          <w:sz w:val="24"/>
          <w:szCs w:val="24"/>
        </w:rPr>
        <w:t xml:space="preserve">року інші поточні активи Компанії складають 8 тис. грн.. </w:t>
      </w:r>
    </w:p>
    <w:p w:rsidR="00A2035F" w:rsidRPr="00A63DEB" w:rsidRDefault="00A2035F" w:rsidP="00B838C3">
      <w:pPr>
        <w:spacing w:before="100" w:beforeAutospacing="1" w:after="100" w:afterAutospacing="1" w:line="240" w:lineRule="auto"/>
        <w:rPr>
          <w:rFonts w:ascii="Times New Roman" w:hAnsi="Times New Roman"/>
          <w:b/>
          <w:spacing w:val="-20"/>
          <w:sz w:val="24"/>
          <w:szCs w:val="24"/>
        </w:rPr>
      </w:pPr>
      <w:r w:rsidRPr="00A63DEB">
        <w:rPr>
          <w:rFonts w:ascii="Times New Roman" w:hAnsi="Times New Roman"/>
          <w:b/>
          <w:spacing w:val="-20"/>
          <w:sz w:val="24"/>
          <w:szCs w:val="24"/>
        </w:rPr>
        <w:t>За станом на 31 грудня 201</w:t>
      </w:r>
      <w:r>
        <w:rPr>
          <w:rFonts w:ascii="Times New Roman" w:hAnsi="Times New Roman"/>
          <w:b/>
          <w:spacing w:val="-20"/>
          <w:sz w:val="24"/>
          <w:szCs w:val="24"/>
        </w:rPr>
        <w:t>5</w:t>
      </w:r>
      <w:r w:rsidRPr="00A63DEB">
        <w:rPr>
          <w:rFonts w:ascii="Times New Roman" w:hAnsi="Times New Roman"/>
          <w:b/>
          <w:spacing w:val="-20"/>
          <w:sz w:val="24"/>
          <w:szCs w:val="24"/>
        </w:rPr>
        <w:t xml:space="preserve"> року Компанія визнає  такі поточні фінансові зобов’язання : </w:t>
      </w:r>
    </w:p>
    <w:p w:rsidR="00A2035F" w:rsidRPr="00A63DEB" w:rsidRDefault="00A2035F" w:rsidP="00A714E1">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Компанія визнає поточним фінансовим зобов’язанням торговельну кредиторську заборгованість, як контрактне зобов’язання надавати грошові кошти за придбані това</w:t>
      </w:r>
      <w:r>
        <w:rPr>
          <w:rFonts w:ascii="Times New Roman" w:hAnsi="Times New Roman"/>
          <w:spacing w:val="-20"/>
          <w:sz w:val="24"/>
          <w:szCs w:val="24"/>
        </w:rPr>
        <w:t>ри, роботи, послуги в сумі 21403</w:t>
      </w:r>
      <w:r w:rsidRPr="00A63DEB">
        <w:rPr>
          <w:rFonts w:ascii="Times New Roman" w:hAnsi="Times New Roman"/>
          <w:spacing w:val="-20"/>
          <w:sz w:val="24"/>
          <w:szCs w:val="24"/>
        </w:rPr>
        <w:t xml:space="preserve"> тис. грн..</w:t>
      </w:r>
    </w:p>
    <w:p w:rsidR="00A2035F" w:rsidRPr="00A63DEB" w:rsidRDefault="00A2035F" w:rsidP="0048623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визнає поточним фінансовим зобов’язанням 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поточну заборгованість по податкам та іншим платежам, крім податку на прибуток, в сумі </w:t>
      </w:r>
      <w:r>
        <w:rPr>
          <w:rFonts w:ascii="Times New Roman" w:hAnsi="Times New Roman"/>
          <w:spacing w:val="-20"/>
          <w:sz w:val="24"/>
          <w:szCs w:val="24"/>
        </w:rPr>
        <w:t xml:space="preserve"> 376</w:t>
      </w:r>
      <w:r w:rsidRPr="00A63DEB">
        <w:rPr>
          <w:rFonts w:ascii="Times New Roman" w:hAnsi="Times New Roman"/>
          <w:spacing w:val="-20"/>
          <w:sz w:val="24"/>
          <w:szCs w:val="24"/>
        </w:rPr>
        <w:t xml:space="preserve">  тис. грн.:</w:t>
      </w:r>
    </w:p>
    <w:p w:rsidR="00A2035F" w:rsidRPr="00A63DEB" w:rsidRDefault="00A2035F" w:rsidP="00C933CA">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ресурсні платежі  в сумі </w:t>
      </w:r>
      <w:r>
        <w:rPr>
          <w:rFonts w:ascii="Times New Roman" w:hAnsi="Times New Roman"/>
          <w:spacing w:val="-20"/>
          <w:sz w:val="24"/>
          <w:szCs w:val="24"/>
        </w:rPr>
        <w:t xml:space="preserve"> 376</w:t>
      </w:r>
      <w:r w:rsidRPr="00A63DEB">
        <w:rPr>
          <w:rFonts w:ascii="Times New Roman" w:hAnsi="Times New Roman"/>
          <w:spacing w:val="-20"/>
          <w:sz w:val="24"/>
          <w:szCs w:val="24"/>
        </w:rPr>
        <w:t xml:space="preserve"> тис. грн.;</w:t>
      </w:r>
    </w:p>
    <w:p w:rsidR="00A2035F" w:rsidRPr="00A63DEB" w:rsidRDefault="00A2035F" w:rsidP="002F0FD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Pr>
          <w:rFonts w:ascii="Times New Roman" w:hAnsi="Times New Roman"/>
          <w:spacing w:val="-20"/>
          <w:sz w:val="24"/>
          <w:szCs w:val="24"/>
        </w:rPr>
        <w:t>5</w:t>
      </w:r>
      <w:r w:rsidR="00DA3206">
        <w:rPr>
          <w:rFonts w:ascii="Times New Roman" w:hAnsi="Times New Roman"/>
          <w:spacing w:val="-20"/>
          <w:sz w:val="24"/>
          <w:szCs w:val="24"/>
        </w:rPr>
        <w:t xml:space="preserve"> </w:t>
      </w:r>
      <w:r w:rsidRPr="00A63DEB">
        <w:rPr>
          <w:rFonts w:ascii="Times New Roman" w:hAnsi="Times New Roman"/>
          <w:spacing w:val="-20"/>
          <w:sz w:val="24"/>
          <w:szCs w:val="24"/>
        </w:rPr>
        <w:t xml:space="preserve">року Компанія визнає поточну заборгованість з виплат працівникам в сумі </w:t>
      </w:r>
      <w:r>
        <w:rPr>
          <w:rFonts w:ascii="Times New Roman" w:hAnsi="Times New Roman"/>
          <w:spacing w:val="-20"/>
          <w:sz w:val="24"/>
          <w:szCs w:val="24"/>
        </w:rPr>
        <w:t>0</w:t>
      </w:r>
      <w:r w:rsidRPr="00A63DEB">
        <w:rPr>
          <w:rFonts w:ascii="Times New Roman" w:hAnsi="Times New Roman"/>
          <w:spacing w:val="-20"/>
          <w:sz w:val="24"/>
          <w:szCs w:val="24"/>
        </w:rPr>
        <w:t xml:space="preserve"> тис. грн..</w:t>
      </w:r>
    </w:p>
    <w:p w:rsidR="00A2035F" w:rsidRPr="00A63DEB" w:rsidRDefault="00A2035F" w:rsidP="00626E84">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Інші поточні  зобов’я</w:t>
      </w:r>
      <w:r>
        <w:rPr>
          <w:rFonts w:ascii="Times New Roman" w:hAnsi="Times New Roman"/>
          <w:spacing w:val="-20"/>
          <w:sz w:val="24"/>
          <w:szCs w:val="24"/>
        </w:rPr>
        <w:t>з</w:t>
      </w:r>
      <w:r w:rsidR="00DA3206">
        <w:rPr>
          <w:rFonts w:ascii="Times New Roman" w:hAnsi="Times New Roman"/>
          <w:spacing w:val="-20"/>
          <w:sz w:val="24"/>
          <w:szCs w:val="24"/>
        </w:rPr>
        <w:t xml:space="preserve">ання Компанія на 31 грудня 2015 </w:t>
      </w:r>
      <w:r w:rsidRPr="00A63DEB">
        <w:rPr>
          <w:rFonts w:ascii="Times New Roman" w:hAnsi="Times New Roman"/>
          <w:spacing w:val="-20"/>
          <w:sz w:val="24"/>
          <w:szCs w:val="24"/>
        </w:rPr>
        <w:t xml:space="preserve"> року визнає в сумі 51 тис. грн..</w:t>
      </w:r>
    </w:p>
    <w:p w:rsidR="00A2035F" w:rsidRPr="00A63DEB" w:rsidRDefault="00A2035F" w:rsidP="00DA1B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      Компанія визнає, оцінює  та подає  інформацію щодо фінансових інструментів власного капіталу  у відповідності до МСБО 39  «Фінансові інструменти : визнання та оцінка» та МСБО 32  «Фінансові інструменти: подання» .</w:t>
      </w:r>
    </w:p>
    <w:p w:rsidR="00A2035F" w:rsidRPr="00A63DEB" w:rsidRDefault="00A2035F" w:rsidP="00BD1A9F">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Акціонерний капітал компанія визнає в сумі 286 тис. грн.</w:t>
      </w:r>
    </w:p>
    <w:p w:rsidR="00A2035F" w:rsidRPr="00A63DEB" w:rsidRDefault="00A2035F" w:rsidP="00BD1A9F">
      <w:pPr>
        <w:spacing w:before="100" w:beforeAutospacing="1" w:after="100" w:afterAutospacing="1" w:line="240" w:lineRule="auto"/>
        <w:rPr>
          <w:rFonts w:ascii="Times New Roman" w:hAnsi="Times New Roman"/>
          <w:spacing w:val="-20"/>
        </w:rPr>
      </w:pPr>
      <w:r w:rsidRPr="00A63DEB">
        <w:rPr>
          <w:rFonts w:ascii="Times New Roman" w:hAnsi="Times New Roman"/>
          <w:spacing w:val="-20"/>
          <w:sz w:val="24"/>
          <w:szCs w:val="24"/>
        </w:rPr>
        <w:t xml:space="preserve">Акціонерний капітал </w:t>
      </w:r>
      <w:r w:rsidRPr="00A63DEB">
        <w:rPr>
          <w:rFonts w:ascii="Times New Roman" w:hAnsi="Times New Roman"/>
          <w:spacing w:val="-20"/>
        </w:rPr>
        <w:t xml:space="preserve"> станом на 31 грудня 201</w:t>
      </w:r>
      <w:r>
        <w:rPr>
          <w:rFonts w:ascii="Times New Roman" w:hAnsi="Times New Roman"/>
          <w:spacing w:val="-20"/>
        </w:rPr>
        <w:t>5</w:t>
      </w:r>
      <w:r w:rsidRPr="00A63DEB">
        <w:rPr>
          <w:rFonts w:ascii="Times New Roman" w:hAnsi="Times New Roman"/>
          <w:spacing w:val="-20"/>
        </w:rPr>
        <w:t xml:space="preserve"> року це  статутний капітал  товариства, що становить  285881,50  грн. і поділено на  1143526  простих іменних акцій вартістю 0,25 грн..  </w:t>
      </w:r>
    </w:p>
    <w:p w:rsidR="00A2035F" w:rsidRPr="00A63DEB" w:rsidRDefault="00A2035F" w:rsidP="00BD1A9F">
      <w:pPr>
        <w:spacing w:before="100" w:beforeAutospacing="1" w:after="100" w:afterAutospacing="1" w:line="240" w:lineRule="auto"/>
        <w:rPr>
          <w:rFonts w:ascii="Times New Roman" w:hAnsi="Times New Roman"/>
          <w:spacing w:val="-20"/>
        </w:rPr>
      </w:pPr>
      <w:r w:rsidRPr="00A63DEB">
        <w:rPr>
          <w:rFonts w:ascii="Times New Roman" w:hAnsi="Times New Roman"/>
          <w:spacing w:val="-20"/>
        </w:rPr>
        <w:t>Форма існування акцій  бездокументарна.</w:t>
      </w:r>
    </w:p>
    <w:p w:rsidR="00A2035F" w:rsidRPr="00A63DEB" w:rsidRDefault="00A2035F" w:rsidP="00BD1A9F">
      <w:pPr>
        <w:spacing w:before="100" w:beforeAutospacing="1" w:after="100" w:afterAutospacing="1" w:line="240" w:lineRule="auto"/>
        <w:rPr>
          <w:rFonts w:ascii="Times New Roman" w:hAnsi="Times New Roman"/>
          <w:spacing w:val="-20"/>
        </w:rPr>
      </w:pPr>
      <w:r w:rsidRPr="00A63DEB">
        <w:rPr>
          <w:rFonts w:ascii="Times New Roman" w:hAnsi="Times New Roman"/>
          <w:spacing w:val="-20"/>
        </w:rPr>
        <w:t>Статутний капітал товариства на дату фінансової звітності сформовано і сплачено повністю  за 1143526  простих іменних акцій  на   загальну суму 285881,50  грн., що складає 100 відсотків статутного капіталу.</w:t>
      </w:r>
    </w:p>
    <w:p w:rsidR="00A2035F" w:rsidRPr="00A63DEB" w:rsidRDefault="00A2035F" w:rsidP="00BD1A9F">
      <w:pPr>
        <w:spacing w:before="100" w:beforeAutospacing="1" w:after="100" w:afterAutospacing="1" w:line="240" w:lineRule="auto"/>
        <w:rPr>
          <w:rFonts w:ascii="Times New Roman" w:hAnsi="Times New Roman"/>
          <w:spacing w:val="-20"/>
        </w:rPr>
      </w:pPr>
      <w:r w:rsidRPr="00A63DEB">
        <w:rPr>
          <w:rFonts w:ascii="Times New Roman" w:hAnsi="Times New Roman"/>
          <w:spacing w:val="-20"/>
        </w:rPr>
        <w:t>За станом на 31 грудня 201</w:t>
      </w:r>
      <w:r>
        <w:rPr>
          <w:rFonts w:ascii="Times New Roman" w:hAnsi="Times New Roman"/>
          <w:spacing w:val="-20"/>
        </w:rPr>
        <w:t>5</w:t>
      </w:r>
      <w:r w:rsidRPr="00A63DEB">
        <w:rPr>
          <w:rFonts w:ascii="Times New Roman" w:hAnsi="Times New Roman"/>
          <w:spacing w:val="-20"/>
        </w:rPr>
        <w:t xml:space="preserve"> року Компанією створено резерв на покриття можливих збитків в сумі 45  тис. грн..</w:t>
      </w:r>
    </w:p>
    <w:p w:rsidR="00A2035F" w:rsidRPr="00A63DEB" w:rsidRDefault="00A2035F" w:rsidP="00BD1A9F">
      <w:pPr>
        <w:spacing w:before="100" w:beforeAutospacing="1" w:after="100" w:afterAutospacing="1" w:line="240" w:lineRule="auto"/>
        <w:rPr>
          <w:rFonts w:ascii="Times New Roman" w:hAnsi="Times New Roman"/>
          <w:spacing w:val="-20"/>
        </w:rPr>
      </w:pPr>
      <w:r w:rsidRPr="00A63DEB">
        <w:rPr>
          <w:rFonts w:ascii="Times New Roman" w:hAnsi="Times New Roman"/>
          <w:spacing w:val="-20"/>
        </w:rPr>
        <w:lastRenderedPageBreak/>
        <w:t>Компанія за станом на 31 грудня 201</w:t>
      </w:r>
      <w:r>
        <w:rPr>
          <w:rFonts w:ascii="Times New Roman" w:hAnsi="Times New Roman"/>
          <w:spacing w:val="-20"/>
        </w:rPr>
        <w:t>5</w:t>
      </w:r>
      <w:r w:rsidRPr="00A63DEB">
        <w:rPr>
          <w:rFonts w:ascii="Times New Roman" w:hAnsi="Times New Roman"/>
          <w:spacing w:val="-20"/>
        </w:rPr>
        <w:t xml:space="preserve"> року визнає прибуток </w:t>
      </w:r>
      <w:r>
        <w:rPr>
          <w:rFonts w:ascii="Times New Roman" w:hAnsi="Times New Roman"/>
          <w:spacing w:val="-20"/>
        </w:rPr>
        <w:t>, як складову власного капіталу,  в сумі 3260</w:t>
      </w:r>
      <w:r w:rsidRPr="00A63DEB">
        <w:rPr>
          <w:rFonts w:ascii="Times New Roman" w:hAnsi="Times New Roman"/>
          <w:spacing w:val="-20"/>
        </w:rPr>
        <w:t xml:space="preserve"> тис. грн..</w:t>
      </w:r>
    </w:p>
    <w:p w:rsidR="00A2035F" w:rsidRPr="00A63DEB" w:rsidRDefault="00A2035F" w:rsidP="00BD1A9F">
      <w:pPr>
        <w:spacing w:before="100" w:beforeAutospacing="1" w:after="100" w:afterAutospacing="1" w:line="240" w:lineRule="auto"/>
        <w:rPr>
          <w:rFonts w:ascii="Times New Roman" w:hAnsi="Times New Roman"/>
          <w:i/>
          <w:spacing w:val="-20"/>
        </w:rPr>
      </w:pPr>
      <w:r w:rsidRPr="00A63DEB">
        <w:rPr>
          <w:rFonts w:ascii="Times New Roman" w:hAnsi="Times New Roman"/>
          <w:b/>
          <w:bCs/>
          <w:i/>
          <w:spacing w:val="-20"/>
          <w:kern w:val="36"/>
          <w:sz w:val="32"/>
          <w:szCs w:val="48"/>
        </w:rPr>
        <w:t>7. Дохід.</w:t>
      </w:r>
    </w:p>
    <w:p w:rsidR="00A2035F" w:rsidRPr="00A63DEB" w:rsidRDefault="00A2035F" w:rsidP="00F635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застосовує МСБО 18 «Дохід»  до обліку доходу, який виникає в результаті звичайної та іншої діяльності та визнає за звітний 201</w:t>
      </w:r>
      <w:r>
        <w:rPr>
          <w:rFonts w:ascii="Times New Roman" w:hAnsi="Times New Roman"/>
          <w:spacing w:val="-20"/>
          <w:sz w:val="24"/>
          <w:szCs w:val="24"/>
        </w:rPr>
        <w:t>5</w:t>
      </w:r>
      <w:r w:rsidRPr="00A63DEB">
        <w:rPr>
          <w:rFonts w:ascii="Times New Roman" w:hAnsi="Times New Roman"/>
          <w:spacing w:val="-20"/>
          <w:sz w:val="24"/>
          <w:szCs w:val="24"/>
        </w:rPr>
        <w:t xml:space="preserve"> рік такі доходи:</w:t>
      </w:r>
    </w:p>
    <w:p w:rsidR="00A2035F" w:rsidRPr="00A63DEB" w:rsidRDefault="00A2035F" w:rsidP="00F63563">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1. Дохід від звичайної діяльності:</w:t>
      </w:r>
    </w:p>
    <w:p w:rsidR="00A2035F" w:rsidRPr="00A63DEB" w:rsidRDefault="00A2035F" w:rsidP="00776906">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b/>
          <w:spacing w:val="-20"/>
          <w:sz w:val="24"/>
          <w:szCs w:val="24"/>
        </w:rPr>
        <w:t>продаж товарів</w:t>
      </w:r>
      <w:r w:rsidRPr="00A63DEB">
        <w:rPr>
          <w:rFonts w:ascii="Times New Roman" w:hAnsi="Times New Roman"/>
          <w:spacing w:val="-20"/>
          <w:sz w:val="24"/>
          <w:szCs w:val="24"/>
        </w:rPr>
        <w:t xml:space="preserve"> – </w:t>
      </w:r>
      <w:r w:rsidR="002C57E7">
        <w:rPr>
          <w:rFonts w:ascii="Times New Roman" w:hAnsi="Times New Roman"/>
          <w:spacing w:val="-20"/>
          <w:sz w:val="24"/>
          <w:szCs w:val="24"/>
        </w:rPr>
        <w:t xml:space="preserve">  11706 </w:t>
      </w:r>
      <w:r>
        <w:rPr>
          <w:rFonts w:ascii="Times New Roman" w:hAnsi="Times New Roman"/>
          <w:spacing w:val="-20"/>
          <w:sz w:val="24"/>
          <w:szCs w:val="24"/>
        </w:rPr>
        <w:t xml:space="preserve"> </w:t>
      </w:r>
      <w:r w:rsidRPr="00A63DEB">
        <w:rPr>
          <w:rFonts w:ascii="Times New Roman" w:hAnsi="Times New Roman"/>
          <w:spacing w:val="-20"/>
          <w:sz w:val="24"/>
          <w:szCs w:val="24"/>
        </w:rPr>
        <w:t>тис. грн., у тому числі</w:t>
      </w:r>
      <w:r w:rsidRPr="00A63DEB">
        <w:rPr>
          <w:rFonts w:ascii="Times New Roman" w:hAnsi="Times New Roman"/>
          <w:spacing w:val="-20"/>
          <w:sz w:val="24"/>
          <w:szCs w:val="24"/>
          <w:lang w:val="ru-RU"/>
        </w:rPr>
        <w:t>:</w:t>
      </w:r>
      <w:r w:rsidRPr="00A63DEB">
        <w:rPr>
          <w:rFonts w:ascii="Times New Roman" w:hAnsi="Times New Roman"/>
          <w:spacing w:val="-20"/>
          <w:sz w:val="24"/>
          <w:szCs w:val="24"/>
        </w:rPr>
        <w:t xml:space="preserve">  </w:t>
      </w:r>
    </w:p>
    <w:p w:rsidR="00A2035F" w:rsidRPr="00A63DEB" w:rsidRDefault="00A2035F" w:rsidP="00F11AB2">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готова продукція  – </w:t>
      </w:r>
      <w:r w:rsidR="002C57E7">
        <w:rPr>
          <w:rFonts w:ascii="Times New Roman" w:hAnsi="Times New Roman"/>
          <w:spacing w:val="-20"/>
          <w:sz w:val="24"/>
          <w:szCs w:val="24"/>
        </w:rPr>
        <w:t>11644</w:t>
      </w:r>
      <w:r>
        <w:rPr>
          <w:rFonts w:ascii="Times New Roman" w:hAnsi="Times New Roman"/>
          <w:spacing w:val="-20"/>
          <w:sz w:val="24"/>
          <w:szCs w:val="24"/>
        </w:rPr>
        <w:t xml:space="preserve"> </w:t>
      </w:r>
      <w:r w:rsidRPr="00A63DEB">
        <w:rPr>
          <w:rFonts w:ascii="Times New Roman" w:hAnsi="Times New Roman"/>
          <w:spacing w:val="-20"/>
          <w:sz w:val="24"/>
          <w:szCs w:val="24"/>
        </w:rPr>
        <w:t xml:space="preserve"> тис. грн.;</w:t>
      </w:r>
    </w:p>
    <w:p w:rsidR="00A2035F" w:rsidRPr="00A63DEB" w:rsidRDefault="00A2035F" w:rsidP="00776906">
      <w:pPr>
        <w:numPr>
          <w:ilvl w:val="0"/>
          <w:numId w:val="1"/>
        </w:numPr>
        <w:spacing w:before="100" w:beforeAutospacing="1" w:after="100" w:afterAutospacing="1" w:line="240" w:lineRule="auto"/>
        <w:rPr>
          <w:rFonts w:ascii="Times New Roman" w:hAnsi="Times New Roman"/>
          <w:spacing w:val="-20"/>
          <w:sz w:val="24"/>
          <w:szCs w:val="24"/>
        </w:rPr>
      </w:pPr>
      <w:r>
        <w:rPr>
          <w:rFonts w:ascii="Times New Roman" w:hAnsi="Times New Roman"/>
          <w:spacing w:val="-20"/>
          <w:sz w:val="24"/>
          <w:szCs w:val="24"/>
        </w:rPr>
        <w:t>інші поточні активи – 62</w:t>
      </w:r>
      <w:r w:rsidRPr="00A63DEB">
        <w:rPr>
          <w:rFonts w:ascii="Times New Roman" w:hAnsi="Times New Roman"/>
          <w:spacing w:val="-20"/>
          <w:sz w:val="24"/>
          <w:szCs w:val="24"/>
        </w:rPr>
        <w:t>тис. грн.;</w:t>
      </w:r>
    </w:p>
    <w:p w:rsidR="00A2035F" w:rsidRPr="00A63DEB" w:rsidRDefault="00A2035F" w:rsidP="002737D3">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b/>
          <w:spacing w:val="-20"/>
          <w:sz w:val="24"/>
          <w:szCs w:val="24"/>
        </w:rPr>
        <w:t xml:space="preserve">надання послуг </w:t>
      </w:r>
      <w:r>
        <w:rPr>
          <w:rFonts w:ascii="Times New Roman" w:hAnsi="Times New Roman"/>
          <w:spacing w:val="-20"/>
          <w:sz w:val="24"/>
          <w:szCs w:val="24"/>
        </w:rPr>
        <w:t xml:space="preserve">–   241 </w:t>
      </w:r>
      <w:r w:rsidRPr="00A63DEB">
        <w:rPr>
          <w:rFonts w:ascii="Times New Roman" w:hAnsi="Times New Roman"/>
          <w:spacing w:val="-20"/>
          <w:sz w:val="24"/>
          <w:szCs w:val="24"/>
        </w:rPr>
        <w:t xml:space="preserve">тис. грн., що є послугами з </w:t>
      </w:r>
      <w:r>
        <w:rPr>
          <w:rFonts w:ascii="Times New Roman" w:hAnsi="Times New Roman"/>
          <w:spacing w:val="-20"/>
          <w:sz w:val="24"/>
          <w:szCs w:val="24"/>
        </w:rPr>
        <w:t xml:space="preserve">операційної оренди обладнання, </w:t>
      </w:r>
    </w:p>
    <w:p w:rsidR="00A2035F" w:rsidRPr="00A63DEB" w:rsidRDefault="00A2035F" w:rsidP="00AC3E04">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2. Прибуток від інших операцій:</w:t>
      </w:r>
    </w:p>
    <w:p w:rsidR="00A2035F" w:rsidRPr="00A63DEB" w:rsidRDefault="00A2035F" w:rsidP="005177E3">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пр</w:t>
      </w:r>
      <w:r>
        <w:rPr>
          <w:rFonts w:ascii="Times New Roman" w:hAnsi="Times New Roman"/>
          <w:spacing w:val="-20"/>
          <w:sz w:val="24"/>
          <w:szCs w:val="24"/>
        </w:rPr>
        <w:t>ибуток від іншої діяльності – 505</w:t>
      </w:r>
      <w:r w:rsidR="00E617F7">
        <w:rPr>
          <w:rFonts w:ascii="Times New Roman" w:hAnsi="Times New Roman"/>
          <w:spacing w:val="-20"/>
          <w:sz w:val="24"/>
          <w:szCs w:val="24"/>
        </w:rPr>
        <w:t xml:space="preserve"> </w:t>
      </w:r>
      <w:r w:rsidRPr="00A63DEB">
        <w:rPr>
          <w:rFonts w:ascii="Times New Roman" w:hAnsi="Times New Roman"/>
          <w:spacing w:val="-20"/>
          <w:sz w:val="24"/>
          <w:szCs w:val="24"/>
        </w:rPr>
        <w:t xml:space="preserve"> тис. грн.</w:t>
      </w:r>
    </w:p>
    <w:p w:rsidR="00A2035F" w:rsidRPr="00A63DEB" w:rsidRDefault="00A2035F" w:rsidP="005E5400">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розкриває та подає інформацію у звіті про сукупний дохід за 201</w:t>
      </w:r>
      <w:r w:rsidR="00A01142">
        <w:rPr>
          <w:rFonts w:ascii="Times New Roman" w:hAnsi="Times New Roman"/>
          <w:spacing w:val="-20"/>
          <w:sz w:val="24"/>
          <w:szCs w:val="24"/>
        </w:rPr>
        <w:t>5</w:t>
      </w:r>
      <w:r w:rsidRPr="00A63DEB">
        <w:rPr>
          <w:rFonts w:ascii="Times New Roman" w:hAnsi="Times New Roman"/>
          <w:spacing w:val="-20"/>
          <w:sz w:val="24"/>
          <w:szCs w:val="24"/>
        </w:rPr>
        <w:t xml:space="preserve"> рік  у відповідності до МСБО 1 «Подання фінансової звітності» за методом «функції витрат» в порівнянні: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b/>
                <w:spacing w:val="-20"/>
                <w:sz w:val="24"/>
                <w:szCs w:val="24"/>
              </w:rPr>
            </w:pPr>
            <w:r w:rsidRPr="00A63DEB">
              <w:rPr>
                <w:rFonts w:ascii="Times New Roman" w:hAnsi="Times New Roman"/>
                <w:b/>
                <w:spacing w:val="-20"/>
                <w:sz w:val="24"/>
                <w:szCs w:val="24"/>
              </w:rPr>
              <w:t>Доходи і витрати</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За 201</w:t>
            </w:r>
            <w:r>
              <w:rPr>
                <w:rFonts w:ascii="Times New Roman" w:hAnsi="Times New Roman"/>
                <w:spacing w:val="-20"/>
                <w:sz w:val="24"/>
                <w:szCs w:val="24"/>
              </w:rPr>
              <w:t>5</w:t>
            </w:r>
            <w:r w:rsidRPr="00A63DEB">
              <w:rPr>
                <w:rFonts w:ascii="Times New Roman" w:hAnsi="Times New Roman"/>
                <w:spacing w:val="-20"/>
                <w:sz w:val="24"/>
                <w:szCs w:val="24"/>
              </w:rPr>
              <w:t>рік</w:t>
            </w:r>
          </w:p>
        </w:tc>
        <w:tc>
          <w:tcPr>
            <w:tcW w:w="3191"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За 201</w:t>
            </w:r>
            <w:r>
              <w:rPr>
                <w:rFonts w:ascii="Times New Roman" w:hAnsi="Times New Roman"/>
                <w:spacing w:val="-20"/>
                <w:sz w:val="24"/>
                <w:szCs w:val="24"/>
              </w:rPr>
              <w:t>4</w:t>
            </w:r>
            <w:r w:rsidRPr="00A63DEB">
              <w:rPr>
                <w:rFonts w:ascii="Times New Roman" w:hAnsi="Times New Roman"/>
                <w:spacing w:val="-20"/>
                <w:sz w:val="24"/>
                <w:szCs w:val="24"/>
              </w:rPr>
              <w:t xml:space="preserve"> рік</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Дохід від продажу</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11947</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9118</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Собівартість реалізації</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10328</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7605</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Валовий прибуток (збиток)</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1619</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1566</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Інший дохід</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505</w:t>
            </w:r>
          </w:p>
        </w:tc>
        <w:tc>
          <w:tcPr>
            <w:tcW w:w="3191" w:type="dxa"/>
          </w:tcPr>
          <w:p w:rsidR="00A2035F" w:rsidRPr="00A63DEB" w:rsidRDefault="00A2035F" w:rsidP="00A04897">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111</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Адміністративні витрати</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1842</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1566</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Інші витрати</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134</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61</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Податок на прибуток</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27</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17</w:t>
            </w:r>
          </w:p>
        </w:tc>
      </w:tr>
      <w:tr w:rsidR="00A2035F" w:rsidRPr="00A63DEB" w:rsidTr="008C4DF3">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sidRPr="00A63DEB">
              <w:rPr>
                <w:rFonts w:ascii="Times New Roman" w:hAnsi="Times New Roman"/>
                <w:spacing w:val="-20"/>
                <w:sz w:val="24"/>
                <w:szCs w:val="24"/>
              </w:rPr>
              <w:t>Прибуток (збиток) за рік</w:t>
            </w:r>
          </w:p>
        </w:tc>
        <w:tc>
          <w:tcPr>
            <w:tcW w:w="3190" w:type="dxa"/>
          </w:tcPr>
          <w:p w:rsidR="00A2035F" w:rsidRPr="00A63DEB" w:rsidRDefault="00A2035F">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121</w:t>
            </w:r>
          </w:p>
        </w:tc>
        <w:tc>
          <w:tcPr>
            <w:tcW w:w="3191" w:type="dxa"/>
          </w:tcPr>
          <w:p w:rsidR="00A2035F" w:rsidRPr="00A63DEB" w:rsidRDefault="00A2035F" w:rsidP="00E6778C">
            <w:pPr>
              <w:spacing w:before="100" w:beforeAutospacing="1" w:after="100" w:afterAutospacing="1" w:line="240" w:lineRule="auto"/>
              <w:jc w:val="center"/>
              <w:rPr>
                <w:rFonts w:ascii="Times New Roman" w:hAnsi="Times New Roman"/>
                <w:spacing w:val="-20"/>
                <w:sz w:val="24"/>
                <w:szCs w:val="24"/>
              </w:rPr>
            </w:pPr>
            <w:r>
              <w:rPr>
                <w:rFonts w:ascii="Times New Roman" w:hAnsi="Times New Roman"/>
                <w:spacing w:val="-20"/>
                <w:sz w:val="24"/>
                <w:szCs w:val="24"/>
              </w:rPr>
              <w:t>(20)</w:t>
            </w:r>
          </w:p>
        </w:tc>
      </w:tr>
    </w:tbl>
    <w:p w:rsidR="00A2035F" w:rsidRPr="00A63DEB" w:rsidRDefault="00A2035F" w:rsidP="001A00B9">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розкриває додаткову інформацію про характер витрат за 201</w:t>
      </w:r>
      <w:r>
        <w:rPr>
          <w:rFonts w:ascii="Times New Roman" w:hAnsi="Times New Roman"/>
          <w:spacing w:val="-20"/>
          <w:sz w:val="24"/>
          <w:szCs w:val="24"/>
        </w:rPr>
        <w:t>5</w:t>
      </w:r>
      <w:r w:rsidRPr="00A63DEB">
        <w:rPr>
          <w:rFonts w:ascii="Times New Roman" w:hAnsi="Times New Roman"/>
          <w:spacing w:val="-20"/>
          <w:sz w:val="24"/>
          <w:szCs w:val="24"/>
        </w:rPr>
        <w:t xml:space="preserve"> рік:</w:t>
      </w:r>
    </w:p>
    <w:p w:rsidR="00A2035F" w:rsidRPr="00DF7824" w:rsidRDefault="00A2035F" w:rsidP="001A00B9">
      <w:pPr>
        <w:numPr>
          <w:ilvl w:val="0"/>
          <w:numId w:val="1"/>
        </w:numPr>
        <w:spacing w:before="100" w:beforeAutospacing="1" w:after="100" w:afterAutospacing="1" w:line="240" w:lineRule="auto"/>
        <w:rPr>
          <w:rFonts w:ascii="Times New Roman" w:hAnsi="Times New Roman"/>
          <w:spacing w:val="-20"/>
          <w:sz w:val="24"/>
          <w:szCs w:val="24"/>
        </w:rPr>
      </w:pPr>
      <w:r w:rsidRPr="00DF7824">
        <w:rPr>
          <w:rFonts w:ascii="Times New Roman" w:hAnsi="Times New Roman"/>
          <w:spacing w:val="-20"/>
          <w:sz w:val="24"/>
          <w:szCs w:val="24"/>
        </w:rPr>
        <w:t>матеріа</w:t>
      </w:r>
      <w:r w:rsidR="001231D2">
        <w:rPr>
          <w:rFonts w:ascii="Times New Roman" w:hAnsi="Times New Roman"/>
          <w:spacing w:val="-20"/>
          <w:sz w:val="24"/>
          <w:szCs w:val="24"/>
        </w:rPr>
        <w:t>льні витрати та послуги –  9003</w:t>
      </w:r>
      <w:r w:rsidRPr="00DF7824">
        <w:rPr>
          <w:rFonts w:ascii="Times New Roman" w:hAnsi="Times New Roman"/>
          <w:spacing w:val="-20"/>
          <w:sz w:val="24"/>
          <w:szCs w:val="24"/>
        </w:rPr>
        <w:t xml:space="preserve"> тис. грн.;</w:t>
      </w:r>
    </w:p>
    <w:p w:rsidR="00A2035F" w:rsidRPr="00A04897" w:rsidRDefault="00A2035F" w:rsidP="001A00B9">
      <w:pPr>
        <w:numPr>
          <w:ilvl w:val="0"/>
          <w:numId w:val="1"/>
        </w:numPr>
        <w:spacing w:before="100" w:beforeAutospacing="1" w:after="100" w:afterAutospacing="1" w:line="240" w:lineRule="auto"/>
        <w:rPr>
          <w:rFonts w:ascii="Times New Roman" w:hAnsi="Times New Roman"/>
          <w:spacing w:val="-20"/>
          <w:sz w:val="24"/>
          <w:szCs w:val="24"/>
        </w:rPr>
      </w:pPr>
      <w:r w:rsidRPr="00A04897">
        <w:rPr>
          <w:rFonts w:ascii="Times New Roman" w:hAnsi="Times New Roman"/>
          <w:spacing w:val="-20"/>
          <w:sz w:val="24"/>
          <w:szCs w:val="24"/>
        </w:rPr>
        <w:t xml:space="preserve">витрати на виплати працівникам  – 152 тис. грн.; </w:t>
      </w:r>
    </w:p>
    <w:p w:rsidR="00A2035F" w:rsidRPr="00A04897" w:rsidRDefault="00A2035F" w:rsidP="001A00B9">
      <w:pPr>
        <w:numPr>
          <w:ilvl w:val="0"/>
          <w:numId w:val="1"/>
        </w:numPr>
        <w:spacing w:before="100" w:beforeAutospacing="1" w:after="100" w:afterAutospacing="1" w:line="240" w:lineRule="auto"/>
        <w:rPr>
          <w:rFonts w:ascii="Times New Roman" w:hAnsi="Times New Roman"/>
          <w:spacing w:val="-20"/>
          <w:sz w:val="24"/>
          <w:szCs w:val="24"/>
        </w:rPr>
      </w:pPr>
      <w:r w:rsidRPr="00A04897">
        <w:rPr>
          <w:rFonts w:ascii="Times New Roman" w:hAnsi="Times New Roman"/>
          <w:spacing w:val="-20"/>
          <w:sz w:val="24"/>
          <w:szCs w:val="24"/>
        </w:rPr>
        <w:t xml:space="preserve">витрати  на соціальні заходи – </w:t>
      </w:r>
      <w:r>
        <w:rPr>
          <w:rFonts w:ascii="Times New Roman" w:hAnsi="Times New Roman"/>
          <w:spacing w:val="-20"/>
          <w:sz w:val="24"/>
          <w:szCs w:val="24"/>
        </w:rPr>
        <w:t>59</w:t>
      </w:r>
      <w:r w:rsidRPr="00A04897">
        <w:rPr>
          <w:rFonts w:ascii="Times New Roman" w:hAnsi="Times New Roman"/>
          <w:spacing w:val="-20"/>
          <w:sz w:val="24"/>
          <w:szCs w:val="24"/>
        </w:rPr>
        <w:t xml:space="preserve">  тис. грн.; </w:t>
      </w:r>
    </w:p>
    <w:p w:rsidR="00A2035F" w:rsidRPr="00A04897" w:rsidRDefault="00A2035F" w:rsidP="00F159AB">
      <w:pPr>
        <w:numPr>
          <w:ilvl w:val="0"/>
          <w:numId w:val="1"/>
        </w:numPr>
        <w:spacing w:before="100" w:beforeAutospacing="1" w:after="100" w:afterAutospacing="1" w:line="240" w:lineRule="auto"/>
        <w:rPr>
          <w:rFonts w:ascii="Times New Roman" w:hAnsi="Times New Roman"/>
          <w:spacing w:val="-20"/>
          <w:sz w:val="24"/>
          <w:szCs w:val="24"/>
        </w:rPr>
      </w:pPr>
      <w:r w:rsidRPr="00A04897">
        <w:rPr>
          <w:rFonts w:ascii="Times New Roman" w:hAnsi="Times New Roman"/>
          <w:spacing w:val="-20"/>
          <w:sz w:val="24"/>
          <w:szCs w:val="24"/>
        </w:rPr>
        <w:t xml:space="preserve">витрати на амортизацію – </w:t>
      </w:r>
      <w:r>
        <w:rPr>
          <w:rFonts w:ascii="Times New Roman" w:hAnsi="Times New Roman"/>
          <w:spacing w:val="-20"/>
          <w:sz w:val="24"/>
          <w:szCs w:val="24"/>
        </w:rPr>
        <w:t>410</w:t>
      </w:r>
      <w:r w:rsidRPr="00A04897">
        <w:rPr>
          <w:rFonts w:ascii="Times New Roman" w:hAnsi="Times New Roman"/>
          <w:spacing w:val="-20"/>
          <w:sz w:val="24"/>
          <w:szCs w:val="24"/>
        </w:rPr>
        <w:t xml:space="preserve"> тис. грн.; </w:t>
      </w:r>
    </w:p>
    <w:p w:rsidR="00A2035F" w:rsidRPr="00F02979" w:rsidRDefault="00A2035F" w:rsidP="00C519D6">
      <w:pPr>
        <w:numPr>
          <w:ilvl w:val="0"/>
          <w:numId w:val="1"/>
        </w:numPr>
        <w:spacing w:before="100" w:beforeAutospacing="1" w:after="100" w:afterAutospacing="1" w:line="240" w:lineRule="auto"/>
        <w:rPr>
          <w:rFonts w:ascii="Times New Roman" w:hAnsi="Times New Roman"/>
          <w:spacing w:val="-20"/>
          <w:sz w:val="24"/>
          <w:szCs w:val="24"/>
        </w:rPr>
      </w:pPr>
      <w:r w:rsidRPr="00F02979">
        <w:rPr>
          <w:rFonts w:ascii="Times New Roman" w:hAnsi="Times New Roman"/>
          <w:spacing w:val="-20"/>
          <w:sz w:val="24"/>
          <w:szCs w:val="24"/>
        </w:rPr>
        <w:t xml:space="preserve">податки та обов’язкові платежі – 2546тис. грн.; </w:t>
      </w:r>
    </w:p>
    <w:p w:rsidR="00A2035F" w:rsidRPr="00F02979" w:rsidRDefault="001231D2" w:rsidP="00F159AB">
      <w:pPr>
        <w:numPr>
          <w:ilvl w:val="0"/>
          <w:numId w:val="1"/>
        </w:numPr>
        <w:spacing w:before="100" w:beforeAutospacing="1" w:after="100" w:afterAutospacing="1" w:line="240" w:lineRule="auto"/>
        <w:rPr>
          <w:rFonts w:ascii="Times New Roman" w:hAnsi="Times New Roman"/>
          <w:spacing w:val="-20"/>
          <w:sz w:val="24"/>
          <w:szCs w:val="24"/>
        </w:rPr>
      </w:pPr>
      <w:r>
        <w:rPr>
          <w:rFonts w:ascii="Times New Roman" w:hAnsi="Times New Roman"/>
          <w:spacing w:val="-20"/>
          <w:sz w:val="24"/>
          <w:szCs w:val="24"/>
        </w:rPr>
        <w:t>інші витрати – 134</w:t>
      </w:r>
      <w:r w:rsidR="00A2035F" w:rsidRPr="00F02979">
        <w:rPr>
          <w:rFonts w:ascii="Times New Roman" w:hAnsi="Times New Roman"/>
          <w:spacing w:val="-20"/>
          <w:sz w:val="24"/>
          <w:szCs w:val="24"/>
        </w:rPr>
        <w:t xml:space="preserve">  тис. грн.;</w:t>
      </w:r>
    </w:p>
    <w:p w:rsidR="00A2035F" w:rsidRPr="00A04897" w:rsidRDefault="00A2035F" w:rsidP="00C519D6">
      <w:pPr>
        <w:numPr>
          <w:ilvl w:val="0"/>
          <w:numId w:val="1"/>
        </w:numPr>
        <w:spacing w:before="100" w:beforeAutospacing="1" w:after="100" w:afterAutospacing="1" w:line="240" w:lineRule="auto"/>
        <w:rPr>
          <w:rFonts w:ascii="Times New Roman" w:hAnsi="Times New Roman"/>
          <w:spacing w:val="-20"/>
          <w:sz w:val="24"/>
          <w:szCs w:val="24"/>
        </w:rPr>
      </w:pPr>
      <w:r w:rsidRPr="00A04897">
        <w:rPr>
          <w:rFonts w:ascii="Times New Roman" w:hAnsi="Times New Roman"/>
          <w:spacing w:val="-20"/>
          <w:sz w:val="24"/>
          <w:szCs w:val="24"/>
        </w:rPr>
        <w:t>податок на прибуток – 27  тис. грн..</w:t>
      </w:r>
    </w:p>
    <w:p w:rsidR="00A2035F" w:rsidRPr="00A63DEB" w:rsidRDefault="00A2035F" w:rsidP="00A60072">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8. Податок на прибуток.</w:t>
      </w:r>
    </w:p>
    <w:p w:rsidR="00A2035F" w:rsidRPr="00A63DEB" w:rsidRDefault="00A2035F" w:rsidP="007159BA">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Компанія у відповідності до МСБО 12 «Податки на прибуток» визначає обліковий підхід до податків на прибуток.</w:t>
      </w:r>
    </w:p>
    <w:p w:rsidR="00A2035F" w:rsidRPr="00A63DEB" w:rsidRDefault="00A2035F" w:rsidP="007159BA">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 станом на 31 грудня 201</w:t>
      </w:r>
      <w:r>
        <w:rPr>
          <w:rFonts w:ascii="Times New Roman" w:hAnsi="Times New Roman"/>
          <w:spacing w:val="-20"/>
          <w:sz w:val="24"/>
          <w:szCs w:val="24"/>
        </w:rPr>
        <w:t>5</w:t>
      </w:r>
      <w:r w:rsidRPr="00A63DEB">
        <w:rPr>
          <w:rFonts w:ascii="Times New Roman" w:hAnsi="Times New Roman"/>
          <w:spacing w:val="-20"/>
          <w:sz w:val="24"/>
          <w:szCs w:val="24"/>
        </w:rPr>
        <w:t xml:space="preserve"> року у складі поточних активів</w:t>
      </w:r>
      <w:r>
        <w:rPr>
          <w:rFonts w:ascii="Times New Roman" w:hAnsi="Times New Roman"/>
          <w:spacing w:val="-20"/>
          <w:sz w:val="24"/>
          <w:szCs w:val="24"/>
        </w:rPr>
        <w:t xml:space="preserve">  Компанія визнає  передоплату </w:t>
      </w:r>
      <w:r w:rsidRPr="00A63DEB">
        <w:rPr>
          <w:rFonts w:ascii="Times New Roman" w:hAnsi="Times New Roman"/>
          <w:spacing w:val="-20"/>
          <w:sz w:val="24"/>
          <w:szCs w:val="24"/>
        </w:rPr>
        <w:t xml:space="preserve"> з податку на прибуток  в </w:t>
      </w:r>
      <w:r w:rsidRPr="00CE0217">
        <w:rPr>
          <w:rFonts w:ascii="Times New Roman" w:hAnsi="Times New Roman"/>
          <w:spacing w:val="-20"/>
          <w:sz w:val="24"/>
          <w:szCs w:val="24"/>
        </w:rPr>
        <w:t xml:space="preserve">сумі </w:t>
      </w:r>
      <w:r w:rsidR="00C02EED">
        <w:rPr>
          <w:rFonts w:ascii="Times New Roman" w:hAnsi="Times New Roman"/>
          <w:spacing w:val="-20"/>
          <w:sz w:val="24"/>
          <w:szCs w:val="24"/>
        </w:rPr>
        <w:t xml:space="preserve"> 3</w:t>
      </w:r>
      <w:r>
        <w:rPr>
          <w:rFonts w:ascii="Times New Roman" w:hAnsi="Times New Roman"/>
          <w:spacing w:val="-20"/>
          <w:sz w:val="24"/>
          <w:szCs w:val="24"/>
        </w:rPr>
        <w:t>2</w:t>
      </w:r>
      <w:r w:rsidRPr="00A63DEB">
        <w:rPr>
          <w:rFonts w:ascii="Times New Roman" w:hAnsi="Times New Roman"/>
          <w:spacing w:val="-20"/>
          <w:sz w:val="24"/>
          <w:szCs w:val="24"/>
        </w:rPr>
        <w:t xml:space="preserve">  тис. грн..</w:t>
      </w:r>
    </w:p>
    <w:p w:rsidR="00A2035F" w:rsidRPr="00A63DEB" w:rsidRDefault="00A2035F" w:rsidP="007159BA">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lastRenderedPageBreak/>
        <w:t>За 201</w:t>
      </w:r>
      <w:r>
        <w:rPr>
          <w:rFonts w:ascii="Times New Roman" w:hAnsi="Times New Roman"/>
          <w:spacing w:val="-20"/>
          <w:sz w:val="24"/>
          <w:szCs w:val="24"/>
        </w:rPr>
        <w:t>5</w:t>
      </w:r>
      <w:r w:rsidRPr="00A63DEB">
        <w:rPr>
          <w:rFonts w:ascii="Times New Roman" w:hAnsi="Times New Roman"/>
          <w:spacing w:val="-20"/>
          <w:sz w:val="24"/>
          <w:szCs w:val="24"/>
        </w:rPr>
        <w:t xml:space="preserve"> рік Компанія нарахувала поточного податку на прибуток в сумі </w:t>
      </w:r>
      <w:r>
        <w:rPr>
          <w:rFonts w:ascii="Times New Roman" w:hAnsi="Times New Roman"/>
          <w:spacing w:val="-20"/>
          <w:sz w:val="24"/>
          <w:szCs w:val="24"/>
        </w:rPr>
        <w:t xml:space="preserve"> 27  </w:t>
      </w:r>
      <w:r w:rsidRPr="00A63DEB">
        <w:rPr>
          <w:rFonts w:ascii="Times New Roman" w:hAnsi="Times New Roman"/>
          <w:spacing w:val="-20"/>
          <w:sz w:val="24"/>
          <w:szCs w:val="24"/>
        </w:rPr>
        <w:t>тис. грн..</w:t>
      </w:r>
    </w:p>
    <w:p w:rsidR="00A2035F" w:rsidRPr="00A63DEB" w:rsidRDefault="00A2035F" w:rsidP="00A60072">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 xml:space="preserve">Компанія у відповідності до МСБО 12 «Податки на прибуток» визнає, </w:t>
      </w:r>
      <w:r>
        <w:rPr>
          <w:rFonts w:ascii="Times New Roman" w:hAnsi="Times New Roman"/>
          <w:spacing w:val="-20"/>
          <w:sz w:val="24"/>
          <w:szCs w:val="24"/>
        </w:rPr>
        <w:t xml:space="preserve"> що  за станом на 31 грудня 2015</w:t>
      </w:r>
      <w:r w:rsidRPr="00A63DEB">
        <w:rPr>
          <w:rFonts w:ascii="Times New Roman" w:hAnsi="Times New Roman"/>
          <w:spacing w:val="-20"/>
          <w:sz w:val="24"/>
          <w:szCs w:val="24"/>
        </w:rPr>
        <w:t xml:space="preserve"> року  майбутні податкові наслідки відсутні.</w:t>
      </w:r>
    </w:p>
    <w:p w:rsidR="00A2035F" w:rsidRPr="00A63DEB" w:rsidRDefault="00A2035F" w:rsidP="00B142A5">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9. Прибуток на акцію.</w:t>
      </w:r>
    </w:p>
    <w:p w:rsidR="00A2035F" w:rsidRPr="00A63DEB" w:rsidRDefault="00A2035F" w:rsidP="00B142A5">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У відповідності до МСБО 33 «Прибуток на акцію» компанія обчислює за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рік, що закінчився,  базисний прибуток на акцію утримувачів звичайних акцій.</w:t>
      </w:r>
    </w:p>
    <w:p w:rsidR="00A2035F" w:rsidRPr="00A63DEB" w:rsidRDefault="00A2035F" w:rsidP="00B142A5">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Базисний прибуток на акцію обчислюється за допомогою ділення прибутку, який відноситься до утримувачів звичайних акцій Компанії,  на  середньозважену кількість звичайних акцій, що перебували в обігу протягом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року.</w:t>
      </w:r>
    </w:p>
    <w:p w:rsidR="00A2035F" w:rsidRPr="00CE0217" w:rsidRDefault="00A2035F" w:rsidP="00B142A5">
      <w:pPr>
        <w:spacing w:before="100" w:beforeAutospacing="1" w:after="100" w:afterAutospacing="1" w:line="240" w:lineRule="auto"/>
        <w:rPr>
          <w:rFonts w:ascii="Times New Roman" w:hAnsi="Times New Roman"/>
          <w:bCs/>
          <w:spacing w:val="-20"/>
          <w:kern w:val="36"/>
          <w:sz w:val="24"/>
          <w:szCs w:val="48"/>
        </w:rPr>
      </w:pPr>
      <w:r w:rsidRPr="00CE0217">
        <w:rPr>
          <w:rFonts w:ascii="Times New Roman" w:hAnsi="Times New Roman"/>
          <w:bCs/>
          <w:spacing w:val="-20"/>
          <w:kern w:val="36"/>
          <w:sz w:val="24"/>
          <w:szCs w:val="48"/>
        </w:rPr>
        <w:t>Прибуток, який відноситься до утримувачів звичайних акцій,  Компанія визнає за результатами  2015  року в сумі  121  тис. грн.. Середньозважена кількість звичайних акцій, що перебували в обігу протягом 2015 року, становить 1143526  штук.</w:t>
      </w:r>
    </w:p>
    <w:p w:rsidR="00A2035F" w:rsidRPr="00A63DEB" w:rsidRDefault="00A2035F" w:rsidP="00B142A5">
      <w:pPr>
        <w:spacing w:before="100" w:beforeAutospacing="1" w:after="100" w:afterAutospacing="1" w:line="240" w:lineRule="auto"/>
        <w:rPr>
          <w:rFonts w:ascii="Times New Roman" w:hAnsi="Times New Roman"/>
          <w:bCs/>
          <w:spacing w:val="-20"/>
          <w:kern w:val="36"/>
          <w:sz w:val="24"/>
          <w:szCs w:val="48"/>
        </w:rPr>
      </w:pPr>
      <w:r w:rsidRPr="00CE0217">
        <w:rPr>
          <w:rFonts w:ascii="Times New Roman" w:hAnsi="Times New Roman"/>
          <w:bCs/>
          <w:spacing w:val="-20"/>
          <w:kern w:val="36"/>
          <w:sz w:val="24"/>
          <w:szCs w:val="48"/>
        </w:rPr>
        <w:t>Базисний прибуток на акцію Компанія визнає за 2015 рік, що закінчився, в сумі 0,10  грн..</w:t>
      </w:r>
    </w:p>
    <w:p w:rsidR="00A2035F" w:rsidRPr="00A63DEB" w:rsidRDefault="00A2035F" w:rsidP="00B142A5">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Компанія у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році не нараховувала та не виплачувала дивіденди за 201</w:t>
      </w:r>
      <w:r>
        <w:rPr>
          <w:rFonts w:ascii="Times New Roman" w:hAnsi="Times New Roman"/>
          <w:bCs/>
          <w:spacing w:val="-20"/>
          <w:kern w:val="36"/>
          <w:sz w:val="24"/>
          <w:szCs w:val="48"/>
        </w:rPr>
        <w:t>4</w:t>
      </w:r>
      <w:r w:rsidRPr="00A63DEB">
        <w:rPr>
          <w:rFonts w:ascii="Times New Roman" w:hAnsi="Times New Roman"/>
          <w:bCs/>
          <w:spacing w:val="-20"/>
          <w:kern w:val="36"/>
          <w:sz w:val="24"/>
          <w:szCs w:val="48"/>
        </w:rPr>
        <w:t>рік.</w:t>
      </w:r>
    </w:p>
    <w:p w:rsidR="00A2035F" w:rsidRPr="00A63DEB" w:rsidRDefault="00A2035F" w:rsidP="00EE3C01">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10. Виплати працівникам.</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відповідності до МСБО 19 «Виплати працівникам» компанія розкриває інформацію стосовно короткострокових  виплат працівникам за 201</w:t>
      </w:r>
      <w:r>
        <w:rPr>
          <w:rFonts w:ascii="Times New Roman" w:hAnsi="Times New Roman"/>
          <w:spacing w:val="-20"/>
          <w:sz w:val="24"/>
          <w:szCs w:val="24"/>
        </w:rPr>
        <w:t>5</w:t>
      </w:r>
      <w:r w:rsidRPr="00A63DEB">
        <w:rPr>
          <w:rFonts w:ascii="Times New Roman" w:hAnsi="Times New Roman"/>
          <w:spacing w:val="-20"/>
          <w:sz w:val="24"/>
          <w:szCs w:val="24"/>
        </w:rPr>
        <w:t xml:space="preserve"> рік , таких  як заробітна плата, оплачені щорічні відпустки та премії, а також виплати на соціальне забезпечення.</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Заробітної плати, оплати щорічних відпусток  за 201</w:t>
      </w:r>
      <w:r>
        <w:rPr>
          <w:rFonts w:ascii="Times New Roman" w:hAnsi="Times New Roman"/>
          <w:spacing w:val="-20"/>
          <w:sz w:val="24"/>
          <w:szCs w:val="24"/>
        </w:rPr>
        <w:t>5</w:t>
      </w:r>
      <w:r w:rsidRPr="00A63DEB">
        <w:rPr>
          <w:rFonts w:ascii="Times New Roman" w:hAnsi="Times New Roman"/>
          <w:spacing w:val="-20"/>
          <w:sz w:val="24"/>
          <w:szCs w:val="24"/>
        </w:rPr>
        <w:t xml:space="preserve"> рік нараховано  </w:t>
      </w:r>
      <w:r>
        <w:rPr>
          <w:rFonts w:ascii="Times New Roman" w:hAnsi="Times New Roman"/>
          <w:spacing w:val="-20"/>
          <w:sz w:val="24"/>
          <w:szCs w:val="24"/>
        </w:rPr>
        <w:t xml:space="preserve">152 </w:t>
      </w:r>
      <w:r w:rsidRPr="00A63DEB">
        <w:rPr>
          <w:rFonts w:ascii="Times New Roman" w:hAnsi="Times New Roman"/>
          <w:spacing w:val="-20"/>
          <w:sz w:val="24"/>
          <w:szCs w:val="24"/>
        </w:rPr>
        <w:t xml:space="preserve"> тис. грн., є</w:t>
      </w:r>
      <w:r>
        <w:rPr>
          <w:rFonts w:ascii="Times New Roman" w:hAnsi="Times New Roman"/>
          <w:spacing w:val="-20"/>
          <w:sz w:val="24"/>
          <w:szCs w:val="24"/>
        </w:rPr>
        <w:t xml:space="preserve">диний соціальний внесок за 2015 </w:t>
      </w:r>
      <w:r w:rsidRPr="00A63DEB">
        <w:rPr>
          <w:rFonts w:ascii="Times New Roman" w:hAnsi="Times New Roman"/>
          <w:spacing w:val="-20"/>
          <w:sz w:val="24"/>
          <w:szCs w:val="24"/>
        </w:rPr>
        <w:t xml:space="preserve">рік нараховано  </w:t>
      </w:r>
      <w:r>
        <w:rPr>
          <w:rFonts w:ascii="Times New Roman" w:hAnsi="Times New Roman"/>
          <w:spacing w:val="-20"/>
          <w:sz w:val="24"/>
          <w:szCs w:val="24"/>
        </w:rPr>
        <w:t>59</w:t>
      </w:r>
      <w:r w:rsidRPr="00A63DEB">
        <w:rPr>
          <w:rFonts w:ascii="Times New Roman" w:hAnsi="Times New Roman"/>
          <w:spacing w:val="-20"/>
          <w:sz w:val="24"/>
          <w:szCs w:val="24"/>
        </w:rPr>
        <w:t xml:space="preserve">  тис. грн..</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Середньооблікова чисельність  працівників Компанії за 201</w:t>
      </w:r>
      <w:r>
        <w:rPr>
          <w:rFonts w:ascii="Times New Roman" w:hAnsi="Times New Roman"/>
          <w:spacing w:val="-20"/>
          <w:sz w:val="24"/>
          <w:szCs w:val="24"/>
        </w:rPr>
        <w:t>5</w:t>
      </w:r>
      <w:r w:rsidR="00C02EED">
        <w:rPr>
          <w:rFonts w:ascii="Times New Roman" w:hAnsi="Times New Roman"/>
          <w:spacing w:val="-20"/>
          <w:sz w:val="24"/>
          <w:szCs w:val="24"/>
        </w:rPr>
        <w:t xml:space="preserve"> </w:t>
      </w:r>
      <w:r w:rsidRPr="00A63DEB">
        <w:rPr>
          <w:rFonts w:ascii="Times New Roman" w:hAnsi="Times New Roman"/>
          <w:spacing w:val="-20"/>
          <w:sz w:val="24"/>
          <w:szCs w:val="24"/>
        </w:rPr>
        <w:t xml:space="preserve">рік складає  </w:t>
      </w:r>
      <w:r>
        <w:rPr>
          <w:rFonts w:ascii="Times New Roman" w:hAnsi="Times New Roman"/>
          <w:spacing w:val="-20"/>
          <w:sz w:val="24"/>
          <w:szCs w:val="24"/>
        </w:rPr>
        <w:t>5</w:t>
      </w:r>
      <w:r w:rsidRPr="00A63DEB">
        <w:rPr>
          <w:rFonts w:ascii="Times New Roman" w:hAnsi="Times New Roman"/>
          <w:spacing w:val="-20"/>
          <w:sz w:val="24"/>
          <w:szCs w:val="24"/>
        </w:rPr>
        <w:t xml:space="preserve">  ос</w:t>
      </w:r>
      <w:r>
        <w:rPr>
          <w:rFonts w:ascii="Times New Roman" w:hAnsi="Times New Roman"/>
          <w:spacing w:val="-20"/>
          <w:sz w:val="24"/>
          <w:szCs w:val="24"/>
        </w:rPr>
        <w:t>іб</w:t>
      </w:r>
      <w:r w:rsidRPr="00A63DEB">
        <w:rPr>
          <w:rFonts w:ascii="Times New Roman" w:hAnsi="Times New Roman"/>
          <w:spacing w:val="-20"/>
          <w:sz w:val="24"/>
          <w:szCs w:val="24"/>
        </w:rPr>
        <w:t>.</w:t>
      </w:r>
    </w:p>
    <w:p w:rsidR="00A2035F" w:rsidRPr="00A63DEB" w:rsidRDefault="00A2035F" w:rsidP="00437AE9">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11. Джерела невизначеності оцінки.</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Деякі суми, включені до фінансової звітності, а також пов’язані з ними розкриття інформації вимагають від управлінського персоналу Компанії здійснення припущень відносно сум або умов, які не можуть бути точно відомі на дату підготовки звітності.</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Управлінський персонал Компанії проводить оцінки на постійній основі, виходячи з результатів і досвіду минулих періодів, консультацій фахівців, тенденцій та інших методів, які керівництво вважає прийнятними за певних обставин, а також виходячи з прогнозів щодо того, як вони можуть змінитися в майбутньому. Однак невизначеність цих припущень і оціночних значень може призвести до результатів, які можуть вимагати суттєвих коригувань вартості активу або зобов’язання, стосовно яких здійснюються такі припущення та оцінки, в майбутньому.</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Основні невизначеності:</w:t>
      </w:r>
    </w:p>
    <w:p w:rsidR="00A2035F" w:rsidRPr="00A63DEB" w:rsidRDefault="00A2035F" w:rsidP="00F71AC9">
      <w:pPr>
        <w:numPr>
          <w:ilvl w:val="0"/>
          <w:numId w:val="1"/>
        </w:num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lastRenderedPageBreak/>
        <w:t>амортизація основних засобів ґрунтується на здійснених управлінським персоналом оцінках майбутніх строків корисного використання цих активів. Оцінки можуть змінюватися під впливом технологічного розвитку, конкуренції, зміни ринкових умов та інших чинників, котрі важко передбачити.  Подібні зміни можуть призвести до змін очікуваних строків корисного використання та амортизаційних відрахувань.</w:t>
      </w:r>
    </w:p>
    <w:p w:rsidR="00A2035F" w:rsidRPr="00A63DEB" w:rsidRDefault="00A2035F" w:rsidP="00982685">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12. Зв`язані сторони.</w:t>
      </w:r>
    </w:p>
    <w:p w:rsidR="00A2035F" w:rsidRPr="00A63DEB" w:rsidRDefault="00A2035F" w:rsidP="00982685">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Компанія у відповідності до МСБО 24 «Розкриття інформації про зв’язані сторони»  розкриває інформацію щодо зв’язаних осіб у фінансовій звітності за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рік.</w:t>
      </w:r>
    </w:p>
    <w:p w:rsidR="00A2035F" w:rsidRPr="00A63DEB" w:rsidRDefault="00A2035F" w:rsidP="00602C9D">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bCs/>
          <w:spacing w:val="-20"/>
          <w:kern w:val="36"/>
          <w:sz w:val="24"/>
          <w:szCs w:val="48"/>
        </w:rPr>
        <w:t xml:space="preserve">Зв’язаною особою Компанії є акціонер - </w:t>
      </w:r>
      <w:r w:rsidRPr="00A63DEB">
        <w:rPr>
          <w:rFonts w:ascii="Times New Roman" w:hAnsi="Times New Roman"/>
          <w:spacing w:val="-20"/>
          <w:sz w:val="24"/>
          <w:szCs w:val="24"/>
        </w:rPr>
        <w:t xml:space="preserve">юридична особа – Товариство з обмеженою відповідальністю «Графітінвест» м.Київ (код ЄДРПОУ – 31484711), утримує 902782 прості іменні акції, що складає  78,9472% статутного капіталу Компанії. </w:t>
      </w:r>
    </w:p>
    <w:p w:rsidR="00A2035F" w:rsidRPr="00A63DEB" w:rsidRDefault="00A2035F" w:rsidP="00365A18">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Зв’язаною особою  Компанії є член провідного управлінського персоналу - генеральний директор –  Лященко Віталій Федорович.</w:t>
      </w:r>
    </w:p>
    <w:p w:rsidR="00A2035F" w:rsidRPr="00A63DEB" w:rsidRDefault="00A2035F" w:rsidP="00FF5EFA">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Операції зі зв’язаними сторонами у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році не проводились.</w:t>
      </w:r>
    </w:p>
    <w:p w:rsidR="00A2035F" w:rsidRPr="00A63DEB" w:rsidRDefault="00A2035F" w:rsidP="00626E84">
      <w:pPr>
        <w:spacing w:before="100" w:beforeAutospacing="1" w:after="100" w:afterAutospacing="1" w:line="240" w:lineRule="auto"/>
        <w:ind w:left="644"/>
        <w:rPr>
          <w:rFonts w:ascii="Times New Roman" w:hAnsi="Times New Roman"/>
          <w:bCs/>
          <w:spacing w:val="-20"/>
          <w:kern w:val="36"/>
          <w:sz w:val="24"/>
          <w:szCs w:val="48"/>
        </w:rPr>
      </w:pPr>
      <w:r w:rsidRPr="00A63DEB">
        <w:rPr>
          <w:rFonts w:ascii="Times New Roman" w:hAnsi="Times New Roman"/>
          <w:bCs/>
          <w:spacing w:val="-20"/>
          <w:kern w:val="36"/>
          <w:sz w:val="24"/>
          <w:szCs w:val="48"/>
        </w:rPr>
        <w:t xml:space="preserve">                                            </w:t>
      </w:r>
    </w:p>
    <w:p w:rsidR="00A2035F" w:rsidRPr="00A63DEB" w:rsidRDefault="00A2035F" w:rsidP="00602C9D">
      <w:pPr>
        <w:spacing w:before="100" w:beforeAutospacing="1" w:after="100" w:afterAutospacing="1" w:line="240" w:lineRule="auto"/>
        <w:rPr>
          <w:rFonts w:ascii="Times New Roman" w:hAnsi="Times New Roman"/>
          <w:b/>
          <w:bCs/>
          <w:i/>
          <w:spacing w:val="-20"/>
          <w:kern w:val="36"/>
          <w:sz w:val="32"/>
          <w:szCs w:val="48"/>
        </w:rPr>
      </w:pPr>
      <w:r w:rsidRPr="00A63DEB">
        <w:rPr>
          <w:rFonts w:ascii="Times New Roman" w:hAnsi="Times New Roman"/>
          <w:b/>
          <w:bCs/>
          <w:i/>
          <w:spacing w:val="-20"/>
          <w:kern w:val="36"/>
          <w:sz w:val="32"/>
          <w:szCs w:val="48"/>
        </w:rPr>
        <w:t>13. Події після звітної дати.</w:t>
      </w:r>
    </w:p>
    <w:p w:rsidR="00A2035F" w:rsidRPr="00A63DEB" w:rsidRDefault="00A2035F" w:rsidP="00F97D04">
      <w:pPr>
        <w:spacing w:before="100" w:beforeAutospacing="1" w:after="100" w:afterAutospacing="1" w:line="240" w:lineRule="auto"/>
        <w:rPr>
          <w:rFonts w:ascii="Times New Roman" w:hAnsi="Times New Roman"/>
          <w:spacing w:val="-20"/>
          <w:sz w:val="24"/>
          <w:szCs w:val="24"/>
        </w:rPr>
      </w:pPr>
      <w:r w:rsidRPr="00A63DEB">
        <w:rPr>
          <w:rFonts w:ascii="Times New Roman" w:hAnsi="Times New Roman"/>
          <w:spacing w:val="-20"/>
          <w:sz w:val="24"/>
          <w:szCs w:val="24"/>
        </w:rPr>
        <w:t>У відповідності до МСБО10 «Події після звітного періоду» компанія  визначає  сприятливі та несприятливі події, які відбуваються з кінця звітного періоду до дати затвердження  фінансової звітності за 201</w:t>
      </w:r>
      <w:r>
        <w:rPr>
          <w:rFonts w:ascii="Times New Roman" w:hAnsi="Times New Roman"/>
          <w:spacing w:val="-20"/>
          <w:sz w:val="24"/>
          <w:szCs w:val="24"/>
        </w:rPr>
        <w:t xml:space="preserve">5 рік </w:t>
      </w:r>
      <w:r w:rsidRPr="00A63DEB">
        <w:rPr>
          <w:rFonts w:ascii="Times New Roman" w:hAnsi="Times New Roman"/>
          <w:spacing w:val="-20"/>
          <w:sz w:val="24"/>
          <w:szCs w:val="24"/>
        </w:rPr>
        <w:t xml:space="preserve">до випуску. </w:t>
      </w:r>
    </w:p>
    <w:p w:rsidR="00A2035F" w:rsidRPr="00A63DEB" w:rsidRDefault="00A2035F" w:rsidP="00602C9D">
      <w:pPr>
        <w:spacing w:before="100" w:beforeAutospacing="1" w:after="100" w:afterAutospacing="1" w:line="240" w:lineRule="auto"/>
        <w:rPr>
          <w:rFonts w:ascii="Times New Roman" w:hAnsi="Times New Roman"/>
          <w:bCs/>
          <w:spacing w:val="-20"/>
          <w:kern w:val="36"/>
          <w:sz w:val="24"/>
          <w:szCs w:val="48"/>
        </w:rPr>
      </w:pPr>
      <w:r w:rsidRPr="00A63DEB">
        <w:rPr>
          <w:rFonts w:ascii="Times New Roman" w:hAnsi="Times New Roman"/>
          <w:bCs/>
          <w:spacing w:val="-20"/>
          <w:kern w:val="36"/>
          <w:sz w:val="24"/>
          <w:szCs w:val="48"/>
        </w:rPr>
        <w:t>Компанія стверджує, що не відбувалось ніяких подій після звітної дати, які могли б вплинути на фінансову звітність за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рік. Також не відбувалося ніяких подій, які могли б вимагати коригування фінансової звітності за 201</w:t>
      </w:r>
      <w:r>
        <w:rPr>
          <w:rFonts w:ascii="Times New Roman" w:hAnsi="Times New Roman"/>
          <w:bCs/>
          <w:spacing w:val="-20"/>
          <w:kern w:val="36"/>
          <w:sz w:val="24"/>
          <w:szCs w:val="48"/>
        </w:rPr>
        <w:t>5</w:t>
      </w:r>
      <w:r w:rsidRPr="00A63DEB">
        <w:rPr>
          <w:rFonts w:ascii="Times New Roman" w:hAnsi="Times New Roman"/>
          <w:bCs/>
          <w:spacing w:val="-20"/>
          <w:kern w:val="36"/>
          <w:sz w:val="24"/>
          <w:szCs w:val="48"/>
        </w:rPr>
        <w:t xml:space="preserve"> рік.</w:t>
      </w:r>
    </w:p>
    <w:p w:rsidR="00A2035F" w:rsidRPr="00A63DEB" w:rsidRDefault="00A2035F" w:rsidP="00602C9D">
      <w:pPr>
        <w:spacing w:before="100" w:beforeAutospacing="1" w:after="100" w:afterAutospacing="1" w:line="240" w:lineRule="auto"/>
        <w:rPr>
          <w:rFonts w:ascii="Times New Roman" w:hAnsi="Times New Roman"/>
          <w:bCs/>
          <w:spacing w:val="-20"/>
          <w:kern w:val="36"/>
          <w:sz w:val="24"/>
          <w:szCs w:val="48"/>
        </w:rPr>
      </w:pPr>
    </w:p>
    <w:p w:rsidR="00A2035F" w:rsidRPr="00A63DEB" w:rsidRDefault="00A2035F" w:rsidP="00602C9D">
      <w:pPr>
        <w:spacing w:before="100" w:beforeAutospacing="1" w:after="100" w:afterAutospacing="1" w:line="240" w:lineRule="auto"/>
        <w:rPr>
          <w:rFonts w:ascii="Times New Roman" w:hAnsi="Times New Roman"/>
          <w:b/>
          <w:bCs/>
          <w:i/>
          <w:spacing w:val="-20"/>
          <w:kern w:val="36"/>
          <w:sz w:val="28"/>
          <w:szCs w:val="48"/>
        </w:rPr>
      </w:pPr>
      <w:r w:rsidRPr="00A63DEB">
        <w:rPr>
          <w:rFonts w:ascii="Times New Roman" w:hAnsi="Times New Roman"/>
          <w:b/>
          <w:bCs/>
          <w:i/>
          <w:spacing w:val="-20"/>
          <w:kern w:val="36"/>
          <w:sz w:val="24"/>
          <w:szCs w:val="48"/>
        </w:rPr>
        <w:t>Г</w:t>
      </w:r>
      <w:r w:rsidRPr="00A63DEB">
        <w:rPr>
          <w:rFonts w:ascii="Times New Roman" w:hAnsi="Times New Roman"/>
          <w:b/>
          <w:bCs/>
          <w:i/>
          <w:spacing w:val="-20"/>
          <w:kern w:val="36"/>
          <w:sz w:val="28"/>
          <w:szCs w:val="48"/>
        </w:rPr>
        <w:t>енеральний  директор</w:t>
      </w:r>
    </w:p>
    <w:p w:rsidR="00A2035F" w:rsidRPr="00A63DEB" w:rsidRDefault="00A2035F" w:rsidP="00602C9D">
      <w:pPr>
        <w:spacing w:before="100" w:beforeAutospacing="1" w:after="100" w:afterAutospacing="1" w:line="240" w:lineRule="auto"/>
        <w:rPr>
          <w:rFonts w:ascii="Times New Roman" w:hAnsi="Times New Roman"/>
          <w:b/>
          <w:bCs/>
          <w:i/>
          <w:spacing w:val="-20"/>
          <w:kern w:val="36"/>
          <w:sz w:val="28"/>
          <w:szCs w:val="48"/>
        </w:rPr>
      </w:pPr>
      <w:r w:rsidRPr="00A63DEB">
        <w:rPr>
          <w:rFonts w:ascii="Times New Roman" w:hAnsi="Times New Roman"/>
          <w:b/>
          <w:bCs/>
          <w:i/>
          <w:spacing w:val="-20"/>
          <w:kern w:val="36"/>
          <w:sz w:val="28"/>
          <w:szCs w:val="48"/>
        </w:rPr>
        <w:t>ПАТ «Заваллівський графітовий</w:t>
      </w:r>
    </w:p>
    <w:p w:rsidR="00A2035F" w:rsidRPr="00A63DEB" w:rsidRDefault="00A2035F" w:rsidP="00602C9D">
      <w:pPr>
        <w:spacing w:before="100" w:beforeAutospacing="1" w:after="100" w:afterAutospacing="1" w:line="240" w:lineRule="auto"/>
        <w:rPr>
          <w:rFonts w:ascii="Times New Roman" w:hAnsi="Times New Roman"/>
          <w:b/>
          <w:bCs/>
          <w:i/>
          <w:spacing w:val="-20"/>
          <w:kern w:val="36"/>
          <w:sz w:val="28"/>
          <w:szCs w:val="48"/>
        </w:rPr>
      </w:pPr>
      <w:r w:rsidRPr="00A63DEB">
        <w:rPr>
          <w:rFonts w:ascii="Times New Roman" w:hAnsi="Times New Roman"/>
          <w:b/>
          <w:bCs/>
          <w:i/>
          <w:spacing w:val="-20"/>
          <w:kern w:val="36"/>
          <w:sz w:val="28"/>
          <w:szCs w:val="48"/>
        </w:rPr>
        <w:t xml:space="preserve"> комбінат»                                                                               Лященко В.Ф.                                                                                              </w:t>
      </w:r>
    </w:p>
    <w:p w:rsidR="00A2035F" w:rsidRPr="00A63DEB" w:rsidRDefault="00A2035F" w:rsidP="00602C9D">
      <w:pPr>
        <w:spacing w:before="100" w:beforeAutospacing="1" w:after="100" w:afterAutospacing="1" w:line="240" w:lineRule="auto"/>
        <w:rPr>
          <w:rFonts w:ascii="Times New Roman" w:hAnsi="Times New Roman"/>
          <w:b/>
          <w:bCs/>
          <w:i/>
          <w:spacing w:val="-20"/>
          <w:kern w:val="36"/>
          <w:sz w:val="28"/>
          <w:szCs w:val="48"/>
        </w:rPr>
      </w:pPr>
      <w:r w:rsidRPr="00A63DEB">
        <w:rPr>
          <w:rFonts w:ascii="Times New Roman" w:hAnsi="Times New Roman"/>
          <w:b/>
          <w:bCs/>
          <w:i/>
          <w:spacing w:val="-20"/>
          <w:kern w:val="36"/>
          <w:sz w:val="28"/>
          <w:szCs w:val="48"/>
        </w:rPr>
        <w:t xml:space="preserve">Головний бухгалтер                                                                                   </w:t>
      </w:r>
    </w:p>
    <w:p w:rsidR="00A2035F" w:rsidRPr="00A63DEB" w:rsidRDefault="00A2035F" w:rsidP="00B250F6">
      <w:pPr>
        <w:spacing w:before="100" w:beforeAutospacing="1" w:after="100" w:afterAutospacing="1" w:line="240" w:lineRule="auto"/>
        <w:rPr>
          <w:rFonts w:ascii="Times New Roman" w:hAnsi="Times New Roman"/>
          <w:b/>
          <w:bCs/>
          <w:i/>
          <w:spacing w:val="-20"/>
          <w:kern w:val="36"/>
          <w:sz w:val="28"/>
          <w:szCs w:val="48"/>
        </w:rPr>
      </w:pPr>
      <w:r w:rsidRPr="00A63DEB">
        <w:rPr>
          <w:rFonts w:ascii="Times New Roman" w:hAnsi="Times New Roman"/>
          <w:b/>
          <w:bCs/>
          <w:i/>
          <w:spacing w:val="-20"/>
          <w:kern w:val="36"/>
          <w:sz w:val="28"/>
          <w:szCs w:val="48"/>
        </w:rPr>
        <w:t>ПАТ «Заваллівський графітовий</w:t>
      </w:r>
    </w:p>
    <w:p w:rsidR="00A2035F" w:rsidRPr="00A63DEB" w:rsidRDefault="00A2035F" w:rsidP="00B250F6">
      <w:pPr>
        <w:spacing w:before="100" w:beforeAutospacing="1" w:after="100" w:afterAutospacing="1" w:line="240" w:lineRule="auto"/>
        <w:rPr>
          <w:rFonts w:ascii="Times New Roman" w:hAnsi="Times New Roman"/>
          <w:b/>
          <w:bCs/>
          <w:spacing w:val="-20"/>
          <w:kern w:val="36"/>
          <w:sz w:val="32"/>
          <w:szCs w:val="48"/>
        </w:rPr>
      </w:pPr>
      <w:r w:rsidRPr="00A63DEB">
        <w:rPr>
          <w:rFonts w:ascii="Times New Roman" w:hAnsi="Times New Roman"/>
          <w:b/>
          <w:bCs/>
          <w:i/>
          <w:spacing w:val="-20"/>
          <w:kern w:val="36"/>
          <w:sz w:val="28"/>
          <w:szCs w:val="48"/>
        </w:rPr>
        <w:t xml:space="preserve"> комбінат»                                                                              Слинько В.Ф.</w:t>
      </w:r>
    </w:p>
    <w:p w:rsidR="00A2035F" w:rsidRPr="00A63DEB" w:rsidRDefault="00A2035F" w:rsidP="006B2328">
      <w:pPr>
        <w:spacing w:before="100" w:beforeAutospacing="1" w:after="100" w:afterAutospacing="1" w:line="240" w:lineRule="auto"/>
        <w:rPr>
          <w:rFonts w:ascii="Times New Roman" w:hAnsi="Times New Roman"/>
          <w:spacing w:val="-20"/>
          <w:sz w:val="24"/>
          <w:szCs w:val="24"/>
        </w:rPr>
      </w:pPr>
    </w:p>
    <w:sectPr w:rsidR="00A2035F" w:rsidRPr="00A63DEB" w:rsidSect="004B09F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DD" w:rsidRDefault="00D96ADD" w:rsidP="00325D8C">
      <w:pPr>
        <w:spacing w:after="0" w:line="240" w:lineRule="auto"/>
      </w:pPr>
      <w:r>
        <w:separator/>
      </w:r>
    </w:p>
  </w:endnote>
  <w:endnote w:type="continuationSeparator" w:id="1">
    <w:p w:rsidR="00D96ADD" w:rsidRDefault="00D96ADD" w:rsidP="00325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A2035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4D5318">
    <w:pPr>
      <w:pStyle w:val="a8"/>
      <w:jc w:val="right"/>
    </w:pPr>
    <w:fldSimple w:instr=" PAGE   \* MERGEFORMAT ">
      <w:r w:rsidR="00907A65">
        <w:rPr>
          <w:noProof/>
        </w:rPr>
        <w:t>16</w:t>
      </w:r>
    </w:fldSimple>
  </w:p>
  <w:p w:rsidR="00A2035F" w:rsidRDefault="00A2035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A203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DD" w:rsidRDefault="00D96ADD" w:rsidP="00325D8C">
      <w:pPr>
        <w:spacing w:after="0" w:line="240" w:lineRule="auto"/>
      </w:pPr>
      <w:r>
        <w:separator/>
      </w:r>
    </w:p>
  </w:footnote>
  <w:footnote w:type="continuationSeparator" w:id="1">
    <w:p w:rsidR="00D96ADD" w:rsidRDefault="00D96ADD" w:rsidP="00325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A2035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A2035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F" w:rsidRDefault="00A203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73445"/>
    <w:multiLevelType w:val="hybridMultilevel"/>
    <w:tmpl w:val="2C506E14"/>
    <w:lvl w:ilvl="0" w:tplc="E9ECA688">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8C32CF"/>
    <w:multiLevelType w:val="hybridMultilevel"/>
    <w:tmpl w:val="ECB21E84"/>
    <w:lvl w:ilvl="0" w:tplc="1C6E06A2">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277"/>
    <w:rsid w:val="00000752"/>
    <w:rsid w:val="00002DE9"/>
    <w:rsid w:val="000038A6"/>
    <w:rsid w:val="00003D8B"/>
    <w:rsid w:val="00007B57"/>
    <w:rsid w:val="000120EE"/>
    <w:rsid w:val="00013003"/>
    <w:rsid w:val="00013F9D"/>
    <w:rsid w:val="00016131"/>
    <w:rsid w:val="000215A8"/>
    <w:rsid w:val="00024B99"/>
    <w:rsid w:val="000341CF"/>
    <w:rsid w:val="00040936"/>
    <w:rsid w:val="000435F6"/>
    <w:rsid w:val="00046530"/>
    <w:rsid w:val="000507EA"/>
    <w:rsid w:val="0005362B"/>
    <w:rsid w:val="00054ABC"/>
    <w:rsid w:val="000628A4"/>
    <w:rsid w:val="00063EA8"/>
    <w:rsid w:val="00066F86"/>
    <w:rsid w:val="00067202"/>
    <w:rsid w:val="000751E9"/>
    <w:rsid w:val="000769FE"/>
    <w:rsid w:val="00076E14"/>
    <w:rsid w:val="00083946"/>
    <w:rsid w:val="000868F9"/>
    <w:rsid w:val="00086ACE"/>
    <w:rsid w:val="00087203"/>
    <w:rsid w:val="00091365"/>
    <w:rsid w:val="000B0FEF"/>
    <w:rsid w:val="000B43DC"/>
    <w:rsid w:val="000B4C55"/>
    <w:rsid w:val="000C154B"/>
    <w:rsid w:val="000D2102"/>
    <w:rsid w:val="000D4292"/>
    <w:rsid w:val="000E48F2"/>
    <w:rsid w:val="000E4F12"/>
    <w:rsid w:val="000E60F7"/>
    <w:rsid w:val="000F2CCF"/>
    <w:rsid w:val="000F5182"/>
    <w:rsid w:val="0010060A"/>
    <w:rsid w:val="00111EEC"/>
    <w:rsid w:val="001156A1"/>
    <w:rsid w:val="001231D2"/>
    <w:rsid w:val="00130453"/>
    <w:rsid w:val="0013061E"/>
    <w:rsid w:val="00131C9C"/>
    <w:rsid w:val="00134D39"/>
    <w:rsid w:val="00136175"/>
    <w:rsid w:val="001421C2"/>
    <w:rsid w:val="0014627A"/>
    <w:rsid w:val="00152E02"/>
    <w:rsid w:val="001543A1"/>
    <w:rsid w:val="00161BF2"/>
    <w:rsid w:val="00167958"/>
    <w:rsid w:val="00176275"/>
    <w:rsid w:val="00191E18"/>
    <w:rsid w:val="00195ACC"/>
    <w:rsid w:val="001A00B9"/>
    <w:rsid w:val="001A3815"/>
    <w:rsid w:val="001A5369"/>
    <w:rsid w:val="001A6710"/>
    <w:rsid w:val="001B28D7"/>
    <w:rsid w:val="001B39BD"/>
    <w:rsid w:val="001B50C9"/>
    <w:rsid w:val="001B7F26"/>
    <w:rsid w:val="001D1BC9"/>
    <w:rsid w:val="001D37B1"/>
    <w:rsid w:val="001D44BB"/>
    <w:rsid w:val="001F09C0"/>
    <w:rsid w:val="001F0C4E"/>
    <w:rsid w:val="001F0D9E"/>
    <w:rsid w:val="001F1361"/>
    <w:rsid w:val="001F386E"/>
    <w:rsid w:val="001F7646"/>
    <w:rsid w:val="00200F9B"/>
    <w:rsid w:val="002130CB"/>
    <w:rsid w:val="00214316"/>
    <w:rsid w:val="002175CF"/>
    <w:rsid w:val="00221EBF"/>
    <w:rsid w:val="00222DF2"/>
    <w:rsid w:val="00231612"/>
    <w:rsid w:val="00231CBA"/>
    <w:rsid w:val="002343E2"/>
    <w:rsid w:val="00234484"/>
    <w:rsid w:val="00234BCE"/>
    <w:rsid w:val="00235C37"/>
    <w:rsid w:val="00236614"/>
    <w:rsid w:val="002370D7"/>
    <w:rsid w:val="0023772C"/>
    <w:rsid w:val="00243441"/>
    <w:rsid w:val="00250197"/>
    <w:rsid w:val="00250DD5"/>
    <w:rsid w:val="00250F14"/>
    <w:rsid w:val="0025298B"/>
    <w:rsid w:val="00254AC2"/>
    <w:rsid w:val="00256878"/>
    <w:rsid w:val="00257AFC"/>
    <w:rsid w:val="00261EDC"/>
    <w:rsid w:val="00270205"/>
    <w:rsid w:val="00270B33"/>
    <w:rsid w:val="00273679"/>
    <w:rsid w:val="002737D3"/>
    <w:rsid w:val="00277C17"/>
    <w:rsid w:val="0029096B"/>
    <w:rsid w:val="002964EC"/>
    <w:rsid w:val="002B1C48"/>
    <w:rsid w:val="002B75E7"/>
    <w:rsid w:val="002C0083"/>
    <w:rsid w:val="002C0F39"/>
    <w:rsid w:val="002C4072"/>
    <w:rsid w:val="002C57E7"/>
    <w:rsid w:val="002C7EB1"/>
    <w:rsid w:val="002D2815"/>
    <w:rsid w:val="002D5A63"/>
    <w:rsid w:val="002E0576"/>
    <w:rsid w:val="002E29FD"/>
    <w:rsid w:val="002F0973"/>
    <w:rsid w:val="002F0FD8"/>
    <w:rsid w:val="002F38C6"/>
    <w:rsid w:val="002F533A"/>
    <w:rsid w:val="003002D7"/>
    <w:rsid w:val="003043B9"/>
    <w:rsid w:val="00305CD6"/>
    <w:rsid w:val="003105AD"/>
    <w:rsid w:val="003132F6"/>
    <w:rsid w:val="00313A6A"/>
    <w:rsid w:val="0031588A"/>
    <w:rsid w:val="00316A17"/>
    <w:rsid w:val="00325D8C"/>
    <w:rsid w:val="00327ECC"/>
    <w:rsid w:val="00341DC3"/>
    <w:rsid w:val="00351F75"/>
    <w:rsid w:val="00352234"/>
    <w:rsid w:val="003643E9"/>
    <w:rsid w:val="00365A18"/>
    <w:rsid w:val="00366D81"/>
    <w:rsid w:val="0037260A"/>
    <w:rsid w:val="003759CE"/>
    <w:rsid w:val="00377350"/>
    <w:rsid w:val="00381F19"/>
    <w:rsid w:val="003829B0"/>
    <w:rsid w:val="0038692A"/>
    <w:rsid w:val="0038771E"/>
    <w:rsid w:val="00391269"/>
    <w:rsid w:val="00394703"/>
    <w:rsid w:val="00394FD4"/>
    <w:rsid w:val="003975ED"/>
    <w:rsid w:val="003A01E3"/>
    <w:rsid w:val="003A04F8"/>
    <w:rsid w:val="003B1BDC"/>
    <w:rsid w:val="003B5B06"/>
    <w:rsid w:val="003C3A0F"/>
    <w:rsid w:val="003D44E3"/>
    <w:rsid w:val="003D5616"/>
    <w:rsid w:val="003E29EE"/>
    <w:rsid w:val="003E5DF3"/>
    <w:rsid w:val="003F0FDC"/>
    <w:rsid w:val="003F282D"/>
    <w:rsid w:val="003F2858"/>
    <w:rsid w:val="003F3F88"/>
    <w:rsid w:val="003F6BAD"/>
    <w:rsid w:val="003F7742"/>
    <w:rsid w:val="003F7A97"/>
    <w:rsid w:val="00400A30"/>
    <w:rsid w:val="004061BD"/>
    <w:rsid w:val="00406590"/>
    <w:rsid w:val="00412B45"/>
    <w:rsid w:val="00413195"/>
    <w:rsid w:val="00415A9E"/>
    <w:rsid w:val="00415AD9"/>
    <w:rsid w:val="00421B12"/>
    <w:rsid w:val="00425AE9"/>
    <w:rsid w:val="0042722B"/>
    <w:rsid w:val="00432E07"/>
    <w:rsid w:val="00437AE9"/>
    <w:rsid w:val="0044100B"/>
    <w:rsid w:val="00451A23"/>
    <w:rsid w:val="004529DA"/>
    <w:rsid w:val="00467588"/>
    <w:rsid w:val="00470D66"/>
    <w:rsid w:val="004727DC"/>
    <w:rsid w:val="00476076"/>
    <w:rsid w:val="00484975"/>
    <w:rsid w:val="00486230"/>
    <w:rsid w:val="00491939"/>
    <w:rsid w:val="0049552D"/>
    <w:rsid w:val="004A49AD"/>
    <w:rsid w:val="004B09FF"/>
    <w:rsid w:val="004B1723"/>
    <w:rsid w:val="004C0774"/>
    <w:rsid w:val="004C1293"/>
    <w:rsid w:val="004D0BC0"/>
    <w:rsid w:val="004D424D"/>
    <w:rsid w:val="004D5318"/>
    <w:rsid w:val="004D6573"/>
    <w:rsid w:val="004D70DA"/>
    <w:rsid w:val="004D71E2"/>
    <w:rsid w:val="004D72CE"/>
    <w:rsid w:val="004E472D"/>
    <w:rsid w:val="004E712F"/>
    <w:rsid w:val="004F0D95"/>
    <w:rsid w:val="004F118F"/>
    <w:rsid w:val="004F2FC7"/>
    <w:rsid w:val="004F42BA"/>
    <w:rsid w:val="00515742"/>
    <w:rsid w:val="00516D58"/>
    <w:rsid w:val="005177E3"/>
    <w:rsid w:val="00517C5F"/>
    <w:rsid w:val="0052192A"/>
    <w:rsid w:val="005231A0"/>
    <w:rsid w:val="00531F1B"/>
    <w:rsid w:val="005365F4"/>
    <w:rsid w:val="00536C8C"/>
    <w:rsid w:val="00540488"/>
    <w:rsid w:val="00546F63"/>
    <w:rsid w:val="0055372A"/>
    <w:rsid w:val="00564CEE"/>
    <w:rsid w:val="005675F0"/>
    <w:rsid w:val="00570587"/>
    <w:rsid w:val="00570E42"/>
    <w:rsid w:val="005721F8"/>
    <w:rsid w:val="00580341"/>
    <w:rsid w:val="0058048D"/>
    <w:rsid w:val="00581D73"/>
    <w:rsid w:val="00585771"/>
    <w:rsid w:val="0059307D"/>
    <w:rsid w:val="00593CA2"/>
    <w:rsid w:val="005947C0"/>
    <w:rsid w:val="005A2D3C"/>
    <w:rsid w:val="005A4423"/>
    <w:rsid w:val="005A4501"/>
    <w:rsid w:val="005B064E"/>
    <w:rsid w:val="005B086D"/>
    <w:rsid w:val="005B3A49"/>
    <w:rsid w:val="005C0F8C"/>
    <w:rsid w:val="005C2165"/>
    <w:rsid w:val="005C25C1"/>
    <w:rsid w:val="005C35F0"/>
    <w:rsid w:val="005D5D6E"/>
    <w:rsid w:val="005D7AC9"/>
    <w:rsid w:val="005E21A2"/>
    <w:rsid w:val="005E379D"/>
    <w:rsid w:val="005E3F1B"/>
    <w:rsid w:val="005E5167"/>
    <w:rsid w:val="005E5400"/>
    <w:rsid w:val="005E6CC2"/>
    <w:rsid w:val="005E7368"/>
    <w:rsid w:val="005F387A"/>
    <w:rsid w:val="00600EF6"/>
    <w:rsid w:val="006013A4"/>
    <w:rsid w:val="00601B5D"/>
    <w:rsid w:val="006021DF"/>
    <w:rsid w:val="00602C9D"/>
    <w:rsid w:val="00607925"/>
    <w:rsid w:val="006132F5"/>
    <w:rsid w:val="0061557C"/>
    <w:rsid w:val="0062088C"/>
    <w:rsid w:val="00620DE0"/>
    <w:rsid w:val="00626E84"/>
    <w:rsid w:val="006324F0"/>
    <w:rsid w:val="00634E8E"/>
    <w:rsid w:val="006452AB"/>
    <w:rsid w:val="00650525"/>
    <w:rsid w:val="00651D54"/>
    <w:rsid w:val="00654B3B"/>
    <w:rsid w:val="00660B22"/>
    <w:rsid w:val="00661C17"/>
    <w:rsid w:val="006667F4"/>
    <w:rsid w:val="006672DF"/>
    <w:rsid w:val="00671855"/>
    <w:rsid w:val="00676209"/>
    <w:rsid w:val="0068388F"/>
    <w:rsid w:val="006901E8"/>
    <w:rsid w:val="00691F86"/>
    <w:rsid w:val="00695E90"/>
    <w:rsid w:val="006A0823"/>
    <w:rsid w:val="006B003F"/>
    <w:rsid w:val="006B2328"/>
    <w:rsid w:val="006B4E3F"/>
    <w:rsid w:val="006B4EC8"/>
    <w:rsid w:val="006C12D3"/>
    <w:rsid w:val="006C511D"/>
    <w:rsid w:val="006D068D"/>
    <w:rsid w:val="006E010F"/>
    <w:rsid w:val="006E3CF8"/>
    <w:rsid w:val="006E4280"/>
    <w:rsid w:val="006F4144"/>
    <w:rsid w:val="006F4E67"/>
    <w:rsid w:val="00710475"/>
    <w:rsid w:val="007159BA"/>
    <w:rsid w:val="00720ACF"/>
    <w:rsid w:val="00723639"/>
    <w:rsid w:val="007300B0"/>
    <w:rsid w:val="007321CE"/>
    <w:rsid w:val="007323FD"/>
    <w:rsid w:val="00733728"/>
    <w:rsid w:val="007357EF"/>
    <w:rsid w:val="00737277"/>
    <w:rsid w:val="007377FA"/>
    <w:rsid w:val="00741D79"/>
    <w:rsid w:val="00744A27"/>
    <w:rsid w:val="0074762A"/>
    <w:rsid w:val="00752C69"/>
    <w:rsid w:val="007570E9"/>
    <w:rsid w:val="007570FD"/>
    <w:rsid w:val="00757F98"/>
    <w:rsid w:val="00762559"/>
    <w:rsid w:val="007671B4"/>
    <w:rsid w:val="007718FC"/>
    <w:rsid w:val="00776906"/>
    <w:rsid w:val="00776C2F"/>
    <w:rsid w:val="00780A39"/>
    <w:rsid w:val="00784E12"/>
    <w:rsid w:val="00790416"/>
    <w:rsid w:val="00790E27"/>
    <w:rsid w:val="007A0AF5"/>
    <w:rsid w:val="007A332D"/>
    <w:rsid w:val="007A46BF"/>
    <w:rsid w:val="007A4E51"/>
    <w:rsid w:val="007A5F48"/>
    <w:rsid w:val="007B5937"/>
    <w:rsid w:val="007B6BA3"/>
    <w:rsid w:val="007C5E0E"/>
    <w:rsid w:val="007D449E"/>
    <w:rsid w:val="007D4755"/>
    <w:rsid w:val="007D7278"/>
    <w:rsid w:val="007E32FF"/>
    <w:rsid w:val="007E7143"/>
    <w:rsid w:val="007F4123"/>
    <w:rsid w:val="00810AE3"/>
    <w:rsid w:val="0081241D"/>
    <w:rsid w:val="008228CD"/>
    <w:rsid w:val="008234CC"/>
    <w:rsid w:val="00827D0E"/>
    <w:rsid w:val="00832FD0"/>
    <w:rsid w:val="00835186"/>
    <w:rsid w:val="00836FD5"/>
    <w:rsid w:val="00844A36"/>
    <w:rsid w:val="00844AA0"/>
    <w:rsid w:val="00845EA5"/>
    <w:rsid w:val="008616DF"/>
    <w:rsid w:val="00861BA8"/>
    <w:rsid w:val="008736DA"/>
    <w:rsid w:val="00880969"/>
    <w:rsid w:val="00887746"/>
    <w:rsid w:val="008908F4"/>
    <w:rsid w:val="008943F7"/>
    <w:rsid w:val="00895DA1"/>
    <w:rsid w:val="008B1210"/>
    <w:rsid w:val="008B5E8A"/>
    <w:rsid w:val="008C0C71"/>
    <w:rsid w:val="008C26C7"/>
    <w:rsid w:val="008C4524"/>
    <w:rsid w:val="008C4DF3"/>
    <w:rsid w:val="008C6E49"/>
    <w:rsid w:val="008F12CB"/>
    <w:rsid w:val="008F2EFE"/>
    <w:rsid w:val="008F63C0"/>
    <w:rsid w:val="008F7BBE"/>
    <w:rsid w:val="0090261C"/>
    <w:rsid w:val="009045F7"/>
    <w:rsid w:val="00907A65"/>
    <w:rsid w:val="009105AA"/>
    <w:rsid w:val="00910B82"/>
    <w:rsid w:val="009241F2"/>
    <w:rsid w:val="009247C1"/>
    <w:rsid w:val="009249CD"/>
    <w:rsid w:val="00924BA1"/>
    <w:rsid w:val="00925EDA"/>
    <w:rsid w:val="00932FFC"/>
    <w:rsid w:val="0093538B"/>
    <w:rsid w:val="00935E0C"/>
    <w:rsid w:val="00936541"/>
    <w:rsid w:val="009412EC"/>
    <w:rsid w:val="00941E9F"/>
    <w:rsid w:val="00952201"/>
    <w:rsid w:val="009531B1"/>
    <w:rsid w:val="009562B5"/>
    <w:rsid w:val="009628B7"/>
    <w:rsid w:val="00963D16"/>
    <w:rsid w:val="00964FEB"/>
    <w:rsid w:val="009708FC"/>
    <w:rsid w:val="009721D9"/>
    <w:rsid w:val="0097705E"/>
    <w:rsid w:val="00981175"/>
    <w:rsid w:val="00982685"/>
    <w:rsid w:val="0098370D"/>
    <w:rsid w:val="00987E46"/>
    <w:rsid w:val="00990151"/>
    <w:rsid w:val="009912EA"/>
    <w:rsid w:val="00991B65"/>
    <w:rsid w:val="00992C13"/>
    <w:rsid w:val="009A0E16"/>
    <w:rsid w:val="009B5661"/>
    <w:rsid w:val="009B68D5"/>
    <w:rsid w:val="009B6B9E"/>
    <w:rsid w:val="009C12DE"/>
    <w:rsid w:val="009C1769"/>
    <w:rsid w:val="009C27BF"/>
    <w:rsid w:val="009C41A2"/>
    <w:rsid w:val="009C6957"/>
    <w:rsid w:val="009D1700"/>
    <w:rsid w:val="009D5642"/>
    <w:rsid w:val="009E1E16"/>
    <w:rsid w:val="009F12BD"/>
    <w:rsid w:val="009F751F"/>
    <w:rsid w:val="009F75D3"/>
    <w:rsid w:val="009F7D07"/>
    <w:rsid w:val="00A01142"/>
    <w:rsid w:val="00A0222A"/>
    <w:rsid w:val="00A034E4"/>
    <w:rsid w:val="00A04775"/>
    <w:rsid w:val="00A04897"/>
    <w:rsid w:val="00A134AD"/>
    <w:rsid w:val="00A2035F"/>
    <w:rsid w:val="00A27DCE"/>
    <w:rsid w:val="00A310A0"/>
    <w:rsid w:val="00A44729"/>
    <w:rsid w:val="00A52651"/>
    <w:rsid w:val="00A53BAD"/>
    <w:rsid w:val="00A60072"/>
    <w:rsid w:val="00A6393A"/>
    <w:rsid w:val="00A63DEB"/>
    <w:rsid w:val="00A714E1"/>
    <w:rsid w:val="00A7270A"/>
    <w:rsid w:val="00A74E88"/>
    <w:rsid w:val="00A75991"/>
    <w:rsid w:val="00A75A5B"/>
    <w:rsid w:val="00A775E4"/>
    <w:rsid w:val="00A82C2E"/>
    <w:rsid w:val="00A84062"/>
    <w:rsid w:val="00A8727B"/>
    <w:rsid w:val="00AA2ADD"/>
    <w:rsid w:val="00AA6788"/>
    <w:rsid w:val="00AB1B39"/>
    <w:rsid w:val="00AB32CB"/>
    <w:rsid w:val="00AC30E9"/>
    <w:rsid w:val="00AC3E04"/>
    <w:rsid w:val="00AC3FB2"/>
    <w:rsid w:val="00AC4FE8"/>
    <w:rsid w:val="00AC6018"/>
    <w:rsid w:val="00AC6601"/>
    <w:rsid w:val="00AD1A82"/>
    <w:rsid w:val="00AD5F3B"/>
    <w:rsid w:val="00AE1F54"/>
    <w:rsid w:val="00AE69CD"/>
    <w:rsid w:val="00AF2762"/>
    <w:rsid w:val="00AF3D68"/>
    <w:rsid w:val="00AF5666"/>
    <w:rsid w:val="00AF66D0"/>
    <w:rsid w:val="00B00D48"/>
    <w:rsid w:val="00B01CC9"/>
    <w:rsid w:val="00B01D8E"/>
    <w:rsid w:val="00B03C6C"/>
    <w:rsid w:val="00B063A3"/>
    <w:rsid w:val="00B1220E"/>
    <w:rsid w:val="00B13169"/>
    <w:rsid w:val="00B1343F"/>
    <w:rsid w:val="00B142A5"/>
    <w:rsid w:val="00B22703"/>
    <w:rsid w:val="00B250F6"/>
    <w:rsid w:val="00B2617D"/>
    <w:rsid w:val="00B31FA0"/>
    <w:rsid w:val="00B3327D"/>
    <w:rsid w:val="00B35D46"/>
    <w:rsid w:val="00B4092A"/>
    <w:rsid w:val="00B44361"/>
    <w:rsid w:val="00B45773"/>
    <w:rsid w:val="00B474D9"/>
    <w:rsid w:val="00B476E7"/>
    <w:rsid w:val="00B72EBD"/>
    <w:rsid w:val="00B760E4"/>
    <w:rsid w:val="00B838C3"/>
    <w:rsid w:val="00B83F50"/>
    <w:rsid w:val="00B8441D"/>
    <w:rsid w:val="00B93CDC"/>
    <w:rsid w:val="00BA3268"/>
    <w:rsid w:val="00BC45DF"/>
    <w:rsid w:val="00BD1A9F"/>
    <w:rsid w:val="00BD3921"/>
    <w:rsid w:val="00BD6963"/>
    <w:rsid w:val="00BE117F"/>
    <w:rsid w:val="00BE5F97"/>
    <w:rsid w:val="00BF2313"/>
    <w:rsid w:val="00BF4A86"/>
    <w:rsid w:val="00BF6E64"/>
    <w:rsid w:val="00BF7672"/>
    <w:rsid w:val="00C02EED"/>
    <w:rsid w:val="00C031AB"/>
    <w:rsid w:val="00C04B35"/>
    <w:rsid w:val="00C0709D"/>
    <w:rsid w:val="00C0722C"/>
    <w:rsid w:val="00C17EAD"/>
    <w:rsid w:val="00C2210B"/>
    <w:rsid w:val="00C36227"/>
    <w:rsid w:val="00C36B5B"/>
    <w:rsid w:val="00C4335E"/>
    <w:rsid w:val="00C44452"/>
    <w:rsid w:val="00C45DD9"/>
    <w:rsid w:val="00C519D6"/>
    <w:rsid w:val="00C55555"/>
    <w:rsid w:val="00C67AAF"/>
    <w:rsid w:val="00C738F1"/>
    <w:rsid w:val="00C74F06"/>
    <w:rsid w:val="00C813CC"/>
    <w:rsid w:val="00C814BE"/>
    <w:rsid w:val="00C826F6"/>
    <w:rsid w:val="00C82ABC"/>
    <w:rsid w:val="00C83CEC"/>
    <w:rsid w:val="00C933CA"/>
    <w:rsid w:val="00C93D91"/>
    <w:rsid w:val="00C94AD4"/>
    <w:rsid w:val="00C95C10"/>
    <w:rsid w:val="00CA3898"/>
    <w:rsid w:val="00CC617A"/>
    <w:rsid w:val="00CC6843"/>
    <w:rsid w:val="00CD3C5A"/>
    <w:rsid w:val="00CD4B6F"/>
    <w:rsid w:val="00CD520C"/>
    <w:rsid w:val="00CD787E"/>
    <w:rsid w:val="00CE0217"/>
    <w:rsid w:val="00CE4E8B"/>
    <w:rsid w:val="00CE5B59"/>
    <w:rsid w:val="00CE61BD"/>
    <w:rsid w:val="00CF10F4"/>
    <w:rsid w:val="00CF2F37"/>
    <w:rsid w:val="00CF5414"/>
    <w:rsid w:val="00D008ED"/>
    <w:rsid w:val="00D017F9"/>
    <w:rsid w:val="00D039B9"/>
    <w:rsid w:val="00D04369"/>
    <w:rsid w:val="00D05C32"/>
    <w:rsid w:val="00D10C4E"/>
    <w:rsid w:val="00D15334"/>
    <w:rsid w:val="00D16F7D"/>
    <w:rsid w:val="00D21819"/>
    <w:rsid w:val="00D2667B"/>
    <w:rsid w:val="00D32E11"/>
    <w:rsid w:val="00D421A4"/>
    <w:rsid w:val="00D450C0"/>
    <w:rsid w:val="00D523F3"/>
    <w:rsid w:val="00D5499A"/>
    <w:rsid w:val="00D55737"/>
    <w:rsid w:val="00D57B92"/>
    <w:rsid w:val="00D6611D"/>
    <w:rsid w:val="00D710D3"/>
    <w:rsid w:val="00D73FE6"/>
    <w:rsid w:val="00D741F5"/>
    <w:rsid w:val="00D828C7"/>
    <w:rsid w:val="00D900ED"/>
    <w:rsid w:val="00D96ADD"/>
    <w:rsid w:val="00D971ED"/>
    <w:rsid w:val="00DA18BB"/>
    <w:rsid w:val="00DA1B28"/>
    <w:rsid w:val="00DA1E2B"/>
    <w:rsid w:val="00DA21D0"/>
    <w:rsid w:val="00DA2800"/>
    <w:rsid w:val="00DA3206"/>
    <w:rsid w:val="00DA6410"/>
    <w:rsid w:val="00DA6DCA"/>
    <w:rsid w:val="00DB1B8C"/>
    <w:rsid w:val="00DB5167"/>
    <w:rsid w:val="00DB537E"/>
    <w:rsid w:val="00DC1255"/>
    <w:rsid w:val="00DC13A6"/>
    <w:rsid w:val="00DC5B13"/>
    <w:rsid w:val="00DD077A"/>
    <w:rsid w:val="00DD4175"/>
    <w:rsid w:val="00DD5049"/>
    <w:rsid w:val="00DE3242"/>
    <w:rsid w:val="00DE5E8A"/>
    <w:rsid w:val="00DE7CD9"/>
    <w:rsid w:val="00DF0D1B"/>
    <w:rsid w:val="00DF2093"/>
    <w:rsid w:val="00DF7824"/>
    <w:rsid w:val="00E05D91"/>
    <w:rsid w:val="00E0714A"/>
    <w:rsid w:val="00E07C1D"/>
    <w:rsid w:val="00E11CDF"/>
    <w:rsid w:val="00E1499C"/>
    <w:rsid w:val="00E15E32"/>
    <w:rsid w:val="00E17A2A"/>
    <w:rsid w:val="00E20581"/>
    <w:rsid w:val="00E20D10"/>
    <w:rsid w:val="00E213E1"/>
    <w:rsid w:val="00E272A3"/>
    <w:rsid w:val="00E31C8C"/>
    <w:rsid w:val="00E329B7"/>
    <w:rsid w:val="00E35BF7"/>
    <w:rsid w:val="00E3720E"/>
    <w:rsid w:val="00E403C9"/>
    <w:rsid w:val="00E4436D"/>
    <w:rsid w:val="00E44A2D"/>
    <w:rsid w:val="00E52F8E"/>
    <w:rsid w:val="00E54C85"/>
    <w:rsid w:val="00E617F7"/>
    <w:rsid w:val="00E64811"/>
    <w:rsid w:val="00E651C9"/>
    <w:rsid w:val="00E6778C"/>
    <w:rsid w:val="00E677A2"/>
    <w:rsid w:val="00E71314"/>
    <w:rsid w:val="00E716DC"/>
    <w:rsid w:val="00E73281"/>
    <w:rsid w:val="00E7610E"/>
    <w:rsid w:val="00E82016"/>
    <w:rsid w:val="00E86860"/>
    <w:rsid w:val="00E93E02"/>
    <w:rsid w:val="00E96B04"/>
    <w:rsid w:val="00EA107C"/>
    <w:rsid w:val="00EA13CD"/>
    <w:rsid w:val="00EA252A"/>
    <w:rsid w:val="00EA25F1"/>
    <w:rsid w:val="00EB3FCD"/>
    <w:rsid w:val="00EB4A74"/>
    <w:rsid w:val="00EC0728"/>
    <w:rsid w:val="00EC1731"/>
    <w:rsid w:val="00ED0A61"/>
    <w:rsid w:val="00EE167E"/>
    <w:rsid w:val="00EE3C01"/>
    <w:rsid w:val="00EE46E7"/>
    <w:rsid w:val="00EE7AFB"/>
    <w:rsid w:val="00EF317D"/>
    <w:rsid w:val="00EF54DD"/>
    <w:rsid w:val="00EF64D8"/>
    <w:rsid w:val="00F0263E"/>
    <w:rsid w:val="00F026A6"/>
    <w:rsid w:val="00F02979"/>
    <w:rsid w:val="00F03DF5"/>
    <w:rsid w:val="00F0484C"/>
    <w:rsid w:val="00F1123A"/>
    <w:rsid w:val="00F11AB2"/>
    <w:rsid w:val="00F13103"/>
    <w:rsid w:val="00F14FFD"/>
    <w:rsid w:val="00F159AB"/>
    <w:rsid w:val="00F215DB"/>
    <w:rsid w:val="00F2683A"/>
    <w:rsid w:val="00F31EB6"/>
    <w:rsid w:val="00F328B6"/>
    <w:rsid w:val="00F34294"/>
    <w:rsid w:val="00F434CC"/>
    <w:rsid w:val="00F63563"/>
    <w:rsid w:val="00F658A7"/>
    <w:rsid w:val="00F65C64"/>
    <w:rsid w:val="00F663FF"/>
    <w:rsid w:val="00F66B53"/>
    <w:rsid w:val="00F703E6"/>
    <w:rsid w:val="00F71AC9"/>
    <w:rsid w:val="00F75D02"/>
    <w:rsid w:val="00F842CC"/>
    <w:rsid w:val="00F859C1"/>
    <w:rsid w:val="00F86202"/>
    <w:rsid w:val="00F94164"/>
    <w:rsid w:val="00F94EB0"/>
    <w:rsid w:val="00F97D04"/>
    <w:rsid w:val="00FB1E22"/>
    <w:rsid w:val="00FB5E15"/>
    <w:rsid w:val="00FB6463"/>
    <w:rsid w:val="00FC124B"/>
    <w:rsid w:val="00FC2C67"/>
    <w:rsid w:val="00FC6C28"/>
    <w:rsid w:val="00FC6FA1"/>
    <w:rsid w:val="00FD1B71"/>
    <w:rsid w:val="00FD79DC"/>
    <w:rsid w:val="00FE0486"/>
    <w:rsid w:val="00FE22C6"/>
    <w:rsid w:val="00FE46F4"/>
    <w:rsid w:val="00FF23C8"/>
    <w:rsid w:val="00FF5EFA"/>
    <w:rsid w:val="00FF7D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FF"/>
    <w:pPr>
      <w:spacing w:after="200" w:line="276" w:lineRule="auto"/>
    </w:pPr>
    <w:rPr>
      <w:sz w:val="22"/>
      <w:szCs w:val="22"/>
      <w:lang w:val="uk-UA"/>
    </w:rPr>
  </w:style>
  <w:style w:type="paragraph" w:styleId="1">
    <w:name w:val="heading 1"/>
    <w:basedOn w:val="a"/>
    <w:link w:val="10"/>
    <w:uiPriority w:val="99"/>
    <w:qFormat/>
    <w:rsid w:val="0073727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73727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7277"/>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37277"/>
    <w:rPr>
      <w:rFonts w:ascii="Times New Roman" w:hAnsi="Times New Roman" w:cs="Times New Roman"/>
      <w:b/>
      <w:bCs/>
      <w:sz w:val="36"/>
      <w:szCs w:val="36"/>
    </w:rPr>
  </w:style>
  <w:style w:type="character" w:styleId="a3">
    <w:name w:val="Strong"/>
    <w:basedOn w:val="a0"/>
    <w:uiPriority w:val="99"/>
    <w:qFormat/>
    <w:rsid w:val="00737277"/>
    <w:rPr>
      <w:rFonts w:cs="Times New Roman"/>
      <w:b/>
      <w:bCs/>
    </w:rPr>
  </w:style>
  <w:style w:type="paragraph" w:styleId="a4">
    <w:name w:val="Normal (Web)"/>
    <w:basedOn w:val="a"/>
    <w:uiPriority w:val="99"/>
    <w:rsid w:val="00737277"/>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99"/>
    <w:qFormat/>
    <w:rsid w:val="00737277"/>
    <w:rPr>
      <w:rFonts w:cs="Times New Roman"/>
      <w:i/>
      <w:iCs/>
    </w:rPr>
  </w:style>
  <w:style w:type="paragraph" w:styleId="HTML">
    <w:name w:val="HTML Preformatted"/>
    <w:basedOn w:val="a"/>
    <w:link w:val="HTML0"/>
    <w:uiPriority w:val="99"/>
    <w:rsid w:val="0011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1156A1"/>
    <w:rPr>
      <w:rFonts w:ascii="Courier New" w:hAnsi="Courier New" w:cs="Courier New"/>
    </w:rPr>
  </w:style>
  <w:style w:type="paragraph" w:customStyle="1" w:styleId="11">
    <w:name w:val="Абзац списка1"/>
    <w:basedOn w:val="a"/>
    <w:uiPriority w:val="99"/>
    <w:rsid w:val="002C4072"/>
    <w:pPr>
      <w:ind w:left="708"/>
    </w:pPr>
  </w:style>
  <w:style w:type="paragraph" w:styleId="a6">
    <w:name w:val="header"/>
    <w:basedOn w:val="a"/>
    <w:link w:val="a7"/>
    <w:uiPriority w:val="99"/>
    <w:semiHidden/>
    <w:rsid w:val="00325D8C"/>
    <w:pPr>
      <w:tabs>
        <w:tab w:val="center" w:pos="4677"/>
        <w:tab w:val="right" w:pos="9355"/>
      </w:tabs>
    </w:pPr>
  </w:style>
  <w:style w:type="character" w:customStyle="1" w:styleId="a7">
    <w:name w:val="Верхний колонтитул Знак"/>
    <w:basedOn w:val="a0"/>
    <w:link w:val="a6"/>
    <w:uiPriority w:val="99"/>
    <w:semiHidden/>
    <w:locked/>
    <w:rsid w:val="00325D8C"/>
    <w:rPr>
      <w:rFonts w:cs="Times New Roman"/>
      <w:sz w:val="22"/>
      <w:szCs w:val="22"/>
    </w:rPr>
  </w:style>
  <w:style w:type="paragraph" w:styleId="a8">
    <w:name w:val="footer"/>
    <w:basedOn w:val="a"/>
    <w:link w:val="a9"/>
    <w:uiPriority w:val="99"/>
    <w:rsid w:val="00325D8C"/>
    <w:pPr>
      <w:tabs>
        <w:tab w:val="center" w:pos="4677"/>
        <w:tab w:val="right" w:pos="9355"/>
      </w:tabs>
    </w:pPr>
  </w:style>
  <w:style w:type="character" w:customStyle="1" w:styleId="a9">
    <w:name w:val="Нижний колонтитул Знак"/>
    <w:basedOn w:val="a0"/>
    <w:link w:val="a8"/>
    <w:uiPriority w:val="99"/>
    <w:locked/>
    <w:rsid w:val="00325D8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396125044">
      <w:marLeft w:val="0"/>
      <w:marRight w:val="0"/>
      <w:marTop w:val="0"/>
      <w:marBottom w:val="0"/>
      <w:divBdr>
        <w:top w:val="none" w:sz="0" w:space="0" w:color="auto"/>
        <w:left w:val="none" w:sz="0" w:space="0" w:color="auto"/>
        <w:bottom w:val="none" w:sz="0" w:space="0" w:color="auto"/>
        <w:right w:val="none" w:sz="0" w:space="0" w:color="auto"/>
      </w:divBdr>
    </w:div>
    <w:div w:id="1396125045">
      <w:marLeft w:val="0"/>
      <w:marRight w:val="0"/>
      <w:marTop w:val="0"/>
      <w:marBottom w:val="0"/>
      <w:divBdr>
        <w:top w:val="none" w:sz="0" w:space="0" w:color="auto"/>
        <w:left w:val="none" w:sz="0" w:space="0" w:color="auto"/>
        <w:bottom w:val="none" w:sz="0" w:space="0" w:color="auto"/>
        <w:right w:val="none" w:sz="0" w:space="0" w:color="auto"/>
      </w:divBdr>
    </w:div>
    <w:div w:id="1396125046">
      <w:marLeft w:val="0"/>
      <w:marRight w:val="0"/>
      <w:marTop w:val="0"/>
      <w:marBottom w:val="0"/>
      <w:divBdr>
        <w:top w:val="none" w:sz="0" w:space="0" w:color="auto"/>
        <w:left w:val="none" w:sz="0" w:space="0" w:color="auto"/>
        <w:bottom w:val="none" w:sz="0" w:space="0" w:color="auto"/>
        <w:right w:val="none" w:sz="0" w:space="0" w:color="auto"/>
      </w:divBdr>
    </w:div>
    <w:div w:id="1396125047">
      <w:marLeft w:val="0"/>
      <w:marRight w:val="0"/>
      <w:marTop w:val="0"/>
      <w:marBottom w:val="0"/>
      <w:divBdr>
        <w:top w:val="none" w:sz="0" w:space="0" w:color="auto"/>
        <w:left w:val="none" w:sz="0" w:space="0" w:color="auto"/>
        <w:bottom w:val="none" w:sz="0" w:space="0" w:color="auto"/>
        <w:right w:val="none" w:sz="0" w:space="0" w:color="auto"/>
      </w:divBdr>
    </w:div>
    <w:div w:id="1396125048">
      <w:marLeft w:val="0"/>
      <w:marRight w:val="0"/>
      <w:marTop w:val="0"/>
      <w:marBottom w:val="0"/>
      <w:divBdr>
        <w:top w:val="none" w:sz="0" w:space="0" w:color="auto"/>
        <w:left w:val="none" w:sz="0" w:space="0" w:color="auto"/>
        <w:bottom w:val="none" w:sz="0" w:space="0" w:color="auto"/>
        <w:right w:val="none" w:sz="0" w:space="0" w:color="auto"/>
      </w:divBdr>
      <w:divsChild>
        <w:div w:id="1396125077">
          <w:marLeft w:val="0"/>
          <w:marRight w:val="0"/>
          <w:marTop w:val="0"/>
          <w:marBottom w:val="0"/>
          <w:divBdr>
            <w:top w:val="none" w:sz="0" w:space="0" w:color="auto"/>
            <w:left w:val="none" w:sz="0" w:space="0" w:color="auto"/>
            <w:bottom w:val="none" w:sz="0" w:space="0" w:color="auto"/>
            <w:right w:val="none" w:sz="0" w:space="0" w:color="auto"/>
          </w:divBdr>
          <w:divsChild>
            <w:div w:id="1396125061">
              <w:marLeft w:val="0"/>
              <w:marRight w:val="0"/>
              <w:marTop w:val="0"/>
              <w:marBottom w:val="0"/>
              <w:divBdr>
                <w:top w:val="none" w:sz="0" w:space="0" w:color="auto"/>
                <w:left w:val="none" w:sz="0" w:space="0" w:color="auto"/>
                <w:bottom w:val="none" w:sz="0" w:space="0" w:color="auto"/>
                <w:right w:val="none" w:sz="0" w:space="0" w:color="auto"/>
              </w:divBdr>
            </w:div>
            <w:div w:id="1396125065">
              <w:marLeft w:val="0"/>
              <w:marRight w:val="0"/>
              <w:marTop w:val="0"/>
              <w:marBottom w:val="0"/>
              <w:divBdr>
                <w:top w:val="none" w:sz="0" w:space="0" w:color="auto"/>
                <w:left w:val="none" w:sz="0" w:space="0" w:color="auto"/>
                <w:bottom w:val="none" w:sz="0" w:space="0" w:color="auto"/>
                <w:right w:val="none" w:sz="0" w:space="0" w:color="auto"/>
              </w:divBdr>
            </w:div>
            <w:div w:id="1396125089">
              <w:marLeft w:val="0"/>
              <w:marRight w:val="0"/>
              <w:marTop w:val="0"/>
              <w:marBottom w:val="0"/>
              <w:divBdr>
                <w:top w:val="none" w:sz="0" w:space="0" w:color="auto"/>
                <w:left w:val="none" w:sz="0" w:space="0" w:color="auto"/>
                <w:bottom w:val="none" w:sz="0" w:space="0" w:color="auto"/>
                <w:right w:val="none" w:sz="0" w:space="0" w:color="auto"/>
              </w:divBdr>
              <w:divsChild>
                <w:div w:id="13961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5049">
      <w:marLeft w:val="0"/>
      <w:marRight w:val="0"/>
      <w:marTop w:val="0"/>
      <w:marBottom w:val="0"/>
      <w:divBdr>
        <w:top w:val="none" w:sz="0" w:space="0" w:color="auto"/>
        <w:left w:val="none" w:sz="0" w:space="0" w:color="auto"/>
        <w:bottom w:val="none" w:sz="0" w:space="0" w:color="auto"/>
        <w:right w:val="none" w:sz="0" w:space="0" w:color="auto"/>
      </w:divBdr>
    </w:div>
    <w:div w:id="1396125050">
      <w:marLeft w:val="0"/>
      <w:marRight w:val="0"/>
      <w:marTop w:val="0"/>
      <w:marBottom w:val="0"/>
      <w:divBdr>
        <w:top w:val="none" w:sz="0" w:space="0" w:color="auto"/>
        <w:left w:val="none" w:sz="0" w:space="0" w:color="auto"/>
        <w:bottom w:val="none" w:sz="0" w:space="0" w:color="auto"/>
        <w:right w:val="none" w:sz="0" w:space="0" w:color="auto"/>
      </w:divBdr>
    </w:div>
    <w:div w:id="1396125051">
      <w:marLeft w:val="0"/>
      <w:marRight w:val="0"/>
      <w:marTop w:val="0"/>
      <w:marBottom w:val="0"/>
      <w:divBdr>
        <w:top w:val="none" w:sz="0" w:space="0" w:color="auto"/>
        <w:left w:val="none" w:sz="0" w:space="0" w:color="auto"/>
        <w:bottom w:val="none" w:sz="0" w:space="0" w:color="auto"/>
        <w:right w:val="none" w:sz="0" w:space="0" w:color="auto"/>
      </w:divBdr>
    </w:div>
    <w:div w:id="1396125052">
      <w:marLeft w:val="0"/>
      <w:marRight w:val="0"/>
      <w:marTop w:val="0"/>
      <w:marBottom w:val="0"/>
      <w:divBdr>
        <w:top w:val="none" w:sz="0" w:space="0" w:color="auto"/>
        <w:left w:val="none" w:sz="0" w:space="0" w:color="auto"/>
        <w:bottom w:val="none" w:sz="0" w:space="0" w:color="auto"/>
        <w:right w:val="none" w:sz="0" w:space="0" w:color="auto"/>
      </w:divBdr>
    </w:div>
    <w:div w:id="1396125053">
      <w:marLeft w:val="0"/>
      <w:marRight w:val="0"/>
      <w:marTop w:val="0"/>
      <w:marBottom w:val="0"/>
      <w:divBdr>
        <w:top w:val="none" w:sz="0" w:space="0" w:color="auto"/>
        <w:left w:val="none" w:sz="0" w:space="0" w:color="auto"/>
        <w:bottom w:val="none" w:sz="0" w:space="0" w:color="auto"/>
        <w:right w:val="none" w:sz="0" w:space="0" w:color="auto"/>
      </w:divBdr>
    </w:div>
    <w:div w:id="1396125054">
      <w:marLeft w:val="0"/>
      <w:marRight w:val="0"/>
      <w:marTop w:val="0"/>
      <w:marBottom w:val="0"/>
      <w:divBdr>
        <w:top w:val="none" w:sz="0" w:space="0" w:color="auto"/>
        <w:left w:val="none" w:sz="0" w:space="0" w:color="auto"/>
        <w:bottom w:val="none" w:sz="0" w:space="0" w:color="auto"/>
        <w:right w:val="none" w:sz="0" w:space="0" w:color="auto"/>
      </w:divBdr>
    </w:div>
    <w:div w:id="1396125055">
      <w:marLeft w:val="0"/>
      <w:marRight w:val="0"/>
      <w:marTop w:val="0"/>
      <w:marBottom w:val="0"/>
      <w:divBdr>
        <w:top w:val="none" w:sz="0" w:space="0" w:color="auto"/>
        <w:left w:val="none" w:sz="0" w:space="0" w:color="auto"/>
        <w:bottom w:val="none" w:sz="0" w:space="0" w:color="auto"/>
        <w:right w:val="none" w:sz="0" w:space="0" w:color="auto"/>
      </w:divBdr>
    </w:div>
    <w:div w:id="1396125056">
      <w:marLeft w:val="0"/>
      <w:marRight w:val="0"/>
      <w:marTop w:val="0"/>
      <w:marBottom w:val="0"/>
      <w:divBdr>
        <w:top w:val="none" w:sz="0" w:space="0" w:color="auto"/>
        <w:left w:val="none" w:sz="0" w:space="0" w:color="auto"/>
        <w:bottom w:val="none" w:sz="0" w:space="0" w:color="auto"/>
        <w:right w:val="none" w:sz="0" w:space="0" w:color="auto"/>
      </w:divBdr>
    </w:div>
    <w:div w:id="1396125057">
      <w:marLeft w:val="0"/>
      <w:marRight w:val="0"/>
      <w:marTop w:val="0"/>
      <w:marBottom w:val="0"/>
      <w:divBdr>
        <w:top w:val="none" w:sz="0" w:space="0" w:color="auto"/>
        <w:left w:val="none" w:sz="0" w:space="0" w:color="auto"/>
        <w:bottom w:val="none" w:sz="0" w:space="0" w:color="auto"/>
        <w:right w:val="none" w:sz="0" w:space="0" w:color="auto"/>
      </w:divBdr>
    </w:div>
    <w:div w:id="1396125058">
      <w:marLeft w:val="0"/>
      <w:marRight w:val="0"/>
      <w:marTop w:val="0"/>
      <w:marBottom w:val="0"/>
      <w:divBdr>
        <w:top w:val="none" w:sz="0" w:space="0" w:color="auto"/>
        <w:left w:val="none" w:sz="0" w:space="0" w:color="auto"/>
        <w:bottom w:val="none" w:sz="0" w:space="0" w:color="auto"/>
        <w:right w:val="none" w:sz="0" w:space="0" w:color="auto"/>
      </w:divBdr>
    </w:div>
    <w:div w:id="1396125059">
      <w:marLeft w:val="0"/>
      <w:marRight w:val="0"/>
      <w:marTop w:val="0"/>
      <w:marBottom w:val="0"/>
      <w:divBdr>
        <w:top w:val="none" w:sz="0" w:space="0" w:color="auto"/>
        <w:left w:val="none" w:sz="0" w:space="0" w:color="auto"/>
        <w:bottom w:val="none" w:sz="0" w:space="0" w:color="auto"/>
        <w:right w:val="none" w:sz="0" w:space="0" w:color="auto"/>
      </w:divBdr>
    </w:div>
    <w:div w:id="1396125060">
      <w:marLeft w:val="0"/>
      <w:marRight w:val="0"/>
      <w:marTop w:val="0"/>
      <w:marBottom w:val="0"/>
      <w:divBdr>
        <w:top w:val="none" w:sz="0" w:space="0" w:color="auto"/>
        <w:left w:val="none" w:sz="0" w:space="0" w:color="auto"/>
        <w:bottom w:val="none" w:sz="0" w:space="0" w:color="auto"/>
        <w:right w:val="none" w:sz="0" w:space="0" w:color="auto"/>
      </w:divBdr>
    </w:div>
    <w:div w:id="1396125062">
      <w:marLeft w:val="0"/>
      <w:marRight w:val="0"/>
      <w:marTop w:val="0"/>
      <w:marBottom w:val="0"/>
      <w:divBdr>
        <w:top w:val="none" w:sz="0" w:space="0" w:color="auto"/>
        <w:left w:val="none" w:sz="0" w:space="0" w:color="auto"/>
        <w:bottom w:val="none" w:sz="0" w:space="0" w:color="auto"/>
        <w:right w:val="none" w:sz="0" w:space="0" w:color="auto"/>
      </w:divBdr>
    </w:div>
    <w:div w:id="1396125063">
      <w:marLeft w:val="0"/>
      <w:marRight w:val="0"/>
      <w:marTop w:val="0"/>
      <w:marBottom w:val="0"/>
      <w:divBdr>
        <w:top w:val="none" w:sz="0" w:space="0" w:color="auto"/>
        <w:left w:val="none" w:sz="0" w:space="0" w:color="auto"/>
        <w:bottom w:val="none" w:sz="0" w:space="0" w:color="auto"/>
        <w:right w:val="none" w:sz="0" w:space="0" w:color="auto"/>
      </w:divBdr>
    </w:div>
    <w:div w:id="1396125064">
      <w:marLeft w:val="0"/>
      <w:marRight w:val="0"/>
      <w:marTop w:val="0"/>
      <w:marBottom w:val="0"/>
      <w:divBdr>
        <w:top w:val="none" w:sz="0" w:space="0" w:color="auto"/>
        <w:left w:val="none" w:sz="0" w:space="0" w:color="auto"/>
        <w:bottom w:val="none" w:sz="0" w:space="0" w:color="auto"/>
        <w:right w:val="none" w:sz="0" w:space="0" w:color="auto"/>
      </w:divBdr>
    </w:div>
    <w:div w:id="1396125066">
      <w:marLeft w:val="0"/>
      <w:marRight w:val="0"/>
      <w:marTop w:val="0"/>
      <w:marBottom w:val="0"/>
      <w:divBdr>
        <w:top w:val="none" w:sz="0" w:space="0" w:color="auto"/>
        <w:left w:val="none" w:sz="0" w:space="0" w:color="auto"/>
        <w:bottom w:val="none" w:sz="0" w:space="0" w:color="auto"/>
        <w:right w:val="none" w:sz="0" w:space="0" w:color="auto"/>
      </w:divBdr>
    </w:div>
    <w:div w:id="1396125067">
      <w:marLeft w:val="0"/>
      <w:marRight w:val="0"/>
      <w:marTop w:val="0"/>
      <w:marBottom w:val="0"/>
      <w:divBdr>
        <w:top w:val="none" w:sz="0" w:space="0" w:color="auto"/>
        <w:left w:val="none" w:sz="0" w:space="0" w:color="auto"/>
        <w:bottom w:val="none" w:sz="0" w:space="0" w:color="auto"/>
        <w:right w:val="none" w:sz="0" w:space="0" w:color="auto"/>
      </w:divBdr>
    </w:div>
    <w:div w:id="1396125068">
      <w:marLeft w:val="0"/>
      <w:marRight w:val="0"/>
      <w:marTop w:val="0"/>
      <w:marBottom w:val="0"/>
      <w:divBdr>
        <w:top w:val="none" w:sz="0" w:space="0" w:color="auto"/>
        <w:left w:val="none" w:sz="0" w:space="0" w:color="auto"/>
        <w:bottom w:val="none" w:sz="0" w:space="0" w:color="auto"/>
        <w:right w:val="none" w:sz="0" w:space="0" w:color="auto"/>
      </w:divBdr>
    </w:div>
    <w:div w:id="1396125069">
      <w:marLeft w:val="0"/>
      <w:marRight w:val="0"/>
      <w:marTop w:val="0"/>
      <w:marBottom w:val="0"/>
      <w:divBdr>
        <w:top w:val="none" w:sz="0" w:space="0" w:color="auto"/>
        <w:left w:val="none" w:sz="0" w:space="0" w:color="auto"/>
        <w:bottom w:val="none" w:sz="0" w:space="0" w:color="auto"/>
        <w:right w:val="none" w:sz="0" w:space="0" w:color="auto"/>
      </w:divBdr>
    </w:div>
    <w:div w:id="1396125070">
      <w:marLeft w:val="0"/>
      <w:marRight w:val="0"/>
      <w:marTop w:val="0"/>
      <w:marBottom w:val="0"/>
      <w:divBdr>
        <w:top w:val="none" w:sz="0" w:space="0" w:color="auto"/>
        <w:left w:val="none" w:sz="0" w:space="0" w:color="auto"/>
        <w:bottom w:val="none" w:sz="0" w:space="0" w:color="auto"/>
        <w:right w:val="none" w:sz="0" w:space="0" w:color="auto"/>
      </w:divBdr>
    </w:div>
    <w:div w:id="1396125071">
      <w:marLeft w:val="0"/>
      <w:marRight w:val="0"/>
      <w:marTop w:val="0"/>
      <w:marBottom w:val="0"/>
      <w:divBdr>
        <w:top w:val="none" w:sz="0" w:space="0" w:color="auto"/>
        <w:left w:val="none" w:sz="0" w:space="0" w:color="auto"/>
        <w:bottom w:val="none" w:sz="0" w:space="0" w:color="auto"/>
        <w:right w:val="none" w:sz="0" w:space="0" w:color="auto"/>
      </w:divBdr>
    </w:div>
    <w:div w:id="1396125072">
      <w:marLeft w:val="0"/>
      <w:marRight w:val="0"/>
      <w:marTop w:val="0"/>
      <w:marBottom w:val="0"/>
      <w:divBdr>
        <w:top w:val="none" w:sz="0" w:space="0" w:color="auto"/>
        <w:left w:val="none" w:sz="0" w:space="0" w:color="auto"/>
        <w:bottom w:val="none" w:sz="0" w:space="0" w:color="auto"/>
        <w:right w:val="none" w:sz="0" w:space="0" w:color="auto"/>
      </w:divBdr>
    </w:div>
    <w:div w:id="1396125073">
      <w:marLeft w:val="0"/>
      <w:marRight w:val="0"/>
      <w:marTop w:val="0"/>
      <w:marBottom w:val="0"/>
      <w:divBdr>
        <w:top w:val="none" w:sz="0" w:space="0" w:color="auto"/>
        <w:left w:val="none" w:sz="0" w:space="0" w:color="auto"/>
        <w:bottom w:val="none" w:sz="0" w:space="0" w:color="auto"/>
        <w:right w:val="none" w:sz="0" w:space="0" w:color="auto"/>
      </w:divBdr>
    </w:div>
    <w:div w:id="1396125074">
      <w:marLeft w:val="0"/>
      <w:marRight w:val="0"/>
      <w:marTop w:val="0"/>
      <w:marBottom w:val="0"/>
      <w:divBdr>
        <w:top w:val="none" w:sz="0" w:space="0" w:color="auto"/>
        <w:left w:val="none" w:sz="0" w:space="0" w:color="auto"/>
        <w:bottom w:val="none" w:sz="0" w:space="0" w:color="auto"/>
        <w:right w:val="none" w:sz="0" w:space="0" w:color="auto"/>
      </w:divBdr>
    </w:div>
    <w:div w:id="1396125075">
      <w:marLeft w:val="0"/>
      <w:marRight w:val="0"/>
      <w:marTop w:val="0"/>
      <w:marBottom w:val="0"/>
      <w:divBdr>
        <w:top w:val="none" w:sz="0" w:space="0" w:color="auto"/>
        <w:left w:val="none" w:sz="0" w:space="0" w:color="auto"/>
        <w:bottom w:val="none" w:sz="0" w:space="0" w:color="auto"/>
        <w:right w:val="none" w:sz="0" w:space="0" w:color="auto"/>
      </w:divBdr>
    </w:div>
    <w:div w:id="1396125076">
      <w:marLeft w:val="0"/>
      <w:marRight w:val="0"/>
      <w:marTop w:val="0"/>
      <w:marBottom w:val="0"/>
      <w:divBdr>
        <w:top w:val="none" w:sz="0" w:space="0" w:color="auto"/>
        <w:left w:val="none" w:sz="0" w:space="0" w:color="auto"/>
        <w:bottom w:val="none" w:sz="0" w:space="0" w:color="auto"/>
        <w:right w:val="none" w:sz="0" w:space="0" w:color="auto"/>
      </w:divBdr>
    </w:div>
    <w:div w:id="1396125078">
      <w:marLeft w:val="0"/>
      <w:marRight w:val="0"/>
      <w:marTop w:val="0"/>
      <w:marBottom w:val="0"/>
      <w:divBdr>
        <w:top w:val="none" w:sz="0" w:space="0" w:color="auto"/>
        <w:left w:val="none" w:sz="0" w:space="0" w:color="auto"/>
        <w:bottom w:val="none" w:sz="0" w:space="0" w:color="auto"/>
        <w:right w:val="none" w:sz="0" w:space="0" w:color="auto"/>
      </w:divBdr>
    </w:div>
    <w:div w:id="1396125079">
      <w:marLeft w:val="0"/>
      <w:marRight w:val="0"/>
      <w:marTop w:val="0"/>
      <w:marBottom w:val="0"/>
      <w:divBdr>
        <w:top w:val="none" w:sz="0" w:space="0" w:color="auto"/>
        <w:left w:val="none" w:sz="0" w:space="0" w:color="auto"/>
        <w:bottom w:val="none" w:sz="0" w:space="0" w:color="auto"/>
        <w:right w:val="none" w:sz="0" w:space="0" w:color="auto"/>
      </w:divBdr>
    </w:div>
    <w:div w:id="1396125080">
      <w:marLeft w:val="0"/>
      <w:marRight w:val="0"/>
      <w:marTop w:val="0"/>
      <w:marBottom w:val="0"/>
      <w:divBdr>
        <w:top w:val="none" w:sz="0" w:space="0" w:color="auto"/>
        <w:left w:val="none" w:sz="0" w:space="0" w:color="auto"/>
        <w:bottom w:val="none" w:sz="0" w:space="0" w:color="auto"/>
        <w:right w:val="none" w:sz="0" w:space="0" w:color="auto"/>
      </w:divBdr>
    </w:div>
    <w:div w:id="1396125081">
      <w:marLeft w:val="0"/>
      <w:marRight w:val="0"/>
      <w:marTop w:val="0"/>
      <w:marBottom w:val="0"/>
      <w:divBdr>
        <w:top w:val="none" w:sz="0" w:space="0" w:color="auto"/>
        <w:left w:val="none" w:sz="0" w:space="0" w:color="auto"/>
        <w:bottom w:val="none" w:sz="0" w:space="0" w:color="auto"/>
        <w:right w:val="none" w:sz="0" w:space="0" w:color="auto"/>
      </w:divBdr>
    </w:div>
    <w:div w:id="1396125082">
      <w:marLeft w:val="0"/>
      <w:marRight w:val="0"/>
      <w:marTop w:val="0"/>
      <w:marBottom w:val="0"/>
      <w:divBdr>
        <w:top w:val="none" w:sz="0" w:space="0" w:color="auto"/>
        <w:left w:val="none" w:sz="0" w:space="0" w:color="auto"/>
        <w:bottom w:val="none" w:sz="0" w:space="0" w:color="auto"/>
        <w:right w:val="none" w:sz="0" w:space="0" w:color="auto"/>
      </w:divBdr>
    </w:div>
    <w:div w:id="1396125083">
      <w:marLeft w:val="0"/>
      <w:marRight w:val="0"/>
      <w:marTop w:val="0"/>
      <w:marBottom w:val="0"/>
      <w:divBdr>
        <w:top w:val="none" w:sz="0" w:space="0" w:color="auto"/>
        <w:left w:val="none" w:sz="0" w:space="0" w:color="auto"/>
        <w:bottom w:val="none" w:sz="0" w:space="0" w:color="auto"/>
        <w:right w:val="none" w:sz="0" w:space="0" w:color="auto"/>
      </w:divBdr>
    </w:div>
    <w:div w:id="1396125084">
      <w:marLeft w:val="0"/>
      <w:marRight w:val="0"/>
      <w:marTop w:val="0"/>
      <w:marBottom w:val="0"/>
      <w:divBdr>
        <w:top w:val="none" w:sz="0" w:space="0" w:color="auto"/>
        <w:left w:val="none" w:sz="0" w:space="0" w:color="auto"/>
        <w:bottom w:val="none" w:sz="0" w:space="0" w:color="auto"/>
        <w:right w:val="none" w:sz="0" w:space="0" w:color="auto"/>
      </w:divBdr>
    </w:div>
    <w:div w:id="1396125085">
      <w:marLeft w:val="0"/>
      <w:marRight w:val="0"/>
      <w:marTop w:val="0"/>
      <w:marBottom w:val="0"/>
      <w:divBdr>
        <w:top w:val="none" w:sz="0" w:space="0" w:color="auto"/>
        <w:left w:val="none" w:sz="0" w:space="0" w:color="auto"/>
        <w:bottom w:val="none" w:sz="0" w:space="0" w:color="auto"/>
        <w:right w:val="none" w:sz="0" w:space="0" w:color="auto"/>
      </w:divBdr>
    </w:div>
    <w:div w:id="1396125087">
      <w:marLeft w:val="0"/>
      <w:marRight w:val="0"/>
      <w:marTop w:val="0"/>
      <w:marBottom w:val="0"/>
      <w:divBdr>
        <w:top w:val="none" w:sz="0" w:space="0" w:color="auto"/>
        <w:left w:val="none" w:sz="0" w:space="0" w:color="auto"/>
        <w:bottom w:val="none" w:sz="0" w:space="0" w:color="auto"/>
        <w:right w:val="none" w:sz="0" w:space="0" w:color="auto"/>
      </w:divBdr>
    </w:div>
    <w:div w:id="1396125088">
      <w:marLeft w:val="0"/>
      <w:marRight w:val="0"/>
      <w:marTop w:val="0"/>
      <w:marBottom w:val="0"/>
      <w:divBdr>
        <w:top w:val="none" w:sz="0" w:space="0" w:color="auto"/>
        <w:left w:val="none" w:sz="0" w:space="0" w:color="auto"/>
        <w:bottom w:val="none" w:sz="0" w:space="0" w:color="auto"/>
        <w:right w:val="none" w:sz="0" w:space="0" w:color="auto"/>
      </w:divBdr>
    </w:div>
    <w:div w:id="1396125090">
      <w:marLeft w:val="0"/>
      <w:marRight w:val="0"/>
      <w:marTop w:val="0"/>
      <w:marBottom w:val="0"/>
      <w:divBdr>
        <w:top w:val="none" w:sz="0" w:space="0" w:color="auto"/>
        <w:left w:val="none" w:sz="0" w:space="0" w:color="auto"/>
        <w:bottom w:val="none" w:sz="0" w:space="0" w:color="auto"/>
        <w:right w:val="none" w:sz="0" w:space="0" w:color="auto"/>
      </w:divBdr>
    </w:div>
    <w:div w:id="1396125091">
      <w:marLeft w:val="0"/>
      <w:marRight w:val="0"/>
      <w:marTop w:val="0"/>
      <w:marBottom w:val="0"/>
      <w:divBdr>
        <w:top w:val="none" w:sz="0" w:space="0" w:color="auto"/>
        <w:left w:val="none" w:sz="0" w:space="0" w:color="auto"/>
        <w:bottom w:val="none" w:sz="0" w:space="0" w:color="auto"/>
        <w:right w:val="none" w:sz="0" w:space="0" w:color="auto"/>
      </w:divBdr>
    </w:div>
    <w:div w:id="1396125092">
      <w:marLeft w:val="0"/>
      <w:marRight w:val="0"/>
      <w:marTop w:val="0"/>
      <w:marBottom w:val="0"/>
      <w:divBdr>
        <w:top w:val="none" w:sz="0" w:space="0" w:color="auto"/>
        <w:left w:val="none" w:sz="0" w:space="0" w:color="auto"/>
        <w:bottom w:val="none" w:sz="0" w:space="0" w:color="auto"/>
        <w:right w:val="none" w:sz="0" w:space="0" w:color="auto"/>
      </w:divBdr>
    </w:div>
    <w:div w:id="1396125093">
      <w:marLeft w:val="0"/>
      <w:marRight w:val="0"/>
      <w:marTop w:val="0"/>
      <w:marBottom w:val="0"/>
      <w:divBdr>
        <w:top w:val="none" w:sz="0" w:space="0" w:color="auto"/>
        <w:left w:val="none" w:sz="0" w:space="0" w:color="auto"/>
        <w:bottom w:val="none" w:sz="0" w:space="0" w:color="auto"/>
        <w:right w:val="none" w:sz="0" w:space="0" w:color="auto"/>
      </w:divBdr>
    </w:div>
    <w:div w:id="1396125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oogle.com/buzz/post?url=http%3A%2F%2Fwww.pro-u4ot.info%2Findex.php%3Fsection%3Dbrowse%26CatID%3D150%26ArtID%3D109&amp;message=%D0%9D%D0%B0%D0%BA%D0%B0%D0%B7%20%D1%82%D0%B0%20%D0%9F%D0%BE%D0%BB%D0%BE%D0%B6%D0%B5%D0%BD%D0%BD%D1%8F%20%D0%BF%D1%80%D0%BE%20%D0%BE%D0%B1%D0%BB%D1%96%D0%BA%D0%BE%D0%B2%D1%83%20%D0%BF%D0%BE%D0%BB%D1%96%D1%82%D0%B8%D0%BA%D1%8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pro-u4ot.info/rss/" TargetMode="External"/><Relationship Id="rId12" Type="http://schemas.openxmlformats.org/officeDocument/2006/relationships/hyperlink" Target="http://www.facebook.com/sharer.php?u=http%3A%2F%2Fwww.pro-u4ot.info%2Findex.php%3Fsection%3Dbrowse%26CatID%3D150%26ArtID%3D109&amp;t=%D0%9D%D0%B0%D0%BA%D0%B0%D0%B7%20%D1%82%D0%B0%20%D0%9F%D0%BE%D0%BB%D0%BE%D0%B6%D0%B5%D0%BD%D0%BD%D1%8F%20%D0%BF%D1%80%D0%BE%20%D0%BE%D0%B1%D0%BB%D1%96%D0%BA%D0%BE%D0%B2%D1%83%20%D0%BF%D0%BE%D0%BB%D1%96%D1%82%D0%B8%D0%BA%D1%8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nkedin.com/shareArticle?mini=true&amp;url=http%3A%2F%2Fwww.pro-u4ot.info%2Findex.php%3Fsection%3Dbrowse%26CatID%3D150%26ArtID%3D109&amp;title=%D0%9D%D0%B0%D0%BA%D0%B0%D0%B7%20%D1%82%D0%B0%20%D0%9F%D0%BE%D0%BB%D0%BE%D0%B6%D0%B5%D0%BD%D0%BD%D1%8F%20%D0%BF%D1%80%D0%BE%20%D0%BE%D0%B1%D0%BB%D1%96%D0%BA%D0%BE%D0%B2%D1%83%20%D0%BF%D0%BE%D0%BB%D1%96%D1%82%D0%B8%D0%BA%D1%83&amp;source=pro-u4ot.inf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share?url=http%3A%2F%2Fwww.pro-u4ot.info%2Findex.php%3Fsection%3Dbrowse%26CatID%3D150%26ArtID%3D109&amp;text=%D0%9D%D0%B0%D0%BA%D0%B0%D0%B7%20%D1%82%D0%B0%20%D0%9F%D0%BE%D0%BB%D0%BE%D0%B6%D0%B5%D0%BD%D0%BD%D1%8F%20%D0%BF%D1%80%D0%BE%20%D0%BE%D0%B1%D0%BB%D1%96%D0%BA%D0%BE%D0%B2%D1%83%20%D0%BF%D0%BE%D0%BB%D1%96%D1%82%D0%B8%D0%BA%D1%83&amp;via=prou4otinf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nect.mail.ru/share?share_url=http%3A%2F%2Fwww.pro-u4ot.info%2Findex.php%3Fsection%3Dbrowse%26CatID%3D150%26ArtID%3D109" TargetMode="External"/><Relationship Id="rId23" Type="http://schemas.openxmlformats.org/officeDocument/2006/relationships/fontTable" Target="fontTable.xml"/><Relationship Id="rId10" Type="http://schemas.openxmlformats.org/officeDocument/2006/relationships/hyperlink" Target="http://www.odnoklassniki.ru/dk?st.cmd=addShare&amp;st.s=1000&amp;st._surl=http%3A%2F%2Fwww.pro-u4ot.info%2Findex.php%3Fsection%3Dbrowse%26CatID%3D150%26ArtID%3D109&amp;title=%D0%9D%D0%B0%D0%BA%D0%B0%D0%B7%20%D1%82%D0%B0%20%D0%9F%D0%BE%D0%BB%D0%BE%D0%B6%D0%B5%D0%BD%D0%BD%D1%8F%20%D0%BF%D1%80%D0%BE%20%D0%BE%D0%B1%D0%BB%D1%96%D0%BA%D0%BE%D0%B2%D1%83%20%D0%BF%D0%BE%D0%BB%D1%96%D1%82%D0%B8%D0%BA%D1%8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kontakte.ru/share.php?url=http%3A%2F%2Fwww.pro-u4ot.info%2Findex.php%3Fsection%3Dbrowse%26CatID%3D150%26ArtID%3D109&amp;title=%D0%9D%D0%B0%D0%BA%D0%B0%D0%B7%20%D1%82%D0%B0%20%D0%9F%D0%BE%D0%BB%D0%BE%D0%B6%D0%B5%D0%BD%D0%BD%D1%8F%20%D0%BF%D1%80%D0%BE%20%D0%BE%D0%B1%D0%BB%D1%96%D0%BA%D0%BE%D0%B2%D1%83%20%D0%BF%D0%BE%D0%BB%D1%96%D1%82%D0%B8%D0%BA%D1%83" TargetMode="External"/><Relationship Id="rId14" Type="http://schemas.openxmlformats.org/officeDocument/2006/relationships/hyperlink" Target="http://www.livejournal.com/update.bml?event=%3Ca+href=%27http%3A%2F%2Fwww.pro-u4ot.info%2Findex.php%3Fsection%3Dbrowse%26CatID%3D150%26ArtID%3D109%27%3E%D0%9D%D0%B0%D0%BA%D0%B0%D0%B7%20%D1%82%D0%B0%20%D0%9F%D0%BE%D0%BB%D0%BE%D0%B6%D0%B5%D0%BD%D0%BD%D1%8F%20%D0%BF%D1%80%D0%BE%20%D0%BE%D0%B1%D0%BB%D1%96%D0%BA%D0%BE%D0%B2%D1%83%20%D0%BF%D0%BE%D0%BB%D1%96%D1%82%D0%B8%D0%BA%D1%83%3C/a%3E&amp;subject=%D0%91%D1%96%D0%B1%D0%BB%D1%96%D0%BE%D1%82%D0%B5%D0%BA%D0%B0%20%D0%91%D1%83%D1%85%D0%B3%D0%B0%D0%BB%D1%82%D0%B5%D1%80%D1%81%D1%8C%D0%BA%D0%BE%D0%B3%D0%BE%20%D0%9E%D0%B1%D0%BB%D1%96%D0%BA%D1%83:%20%D0%9D%D0%B0%D0%BA%D0%B0%D0%B7%20%D1%82%D0%B0%20%D0%9F%D0%BE%D0%BB%D0%BE%D0%B6%D0%B5%D0%BD%D0%BD%D1%8F%20%D0%BF%D1%80%D0%BE%20%D0%BE%D0%B1%D0%BB%D1%96%D0%BA%D0%BE%D0%B2%D1%83%20%D0%BF%D0%BE%D0%BB%D1%96%D1%82%D0%B8%D0%BA%D1%8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6878</Words>
  <Characters>39206</Characters>
  <Application>Microsoft Office Word</Application>
  <DocSecurity>0</DocSecurity>
  <Lines>326</Lines>
  <Paragraphs>91</Paragraphs>
  <ScaleCrop>false</ScaleCrop>
  <Company>Microsoft</Company>
  <LinksUpToDate>false</LinksUpToDate>
  <CharactersWithSpaces>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ПАТ «Заваллівський графітовий комбінат» за   станом на  31 грудня 2013 року</dc:title>
  <dc:subject/>
  <dc:creator>Admin</dc:creator>
  <cp:keywords/>
  <dc:description/>
  <cp:lastModifiedBy>Admin</cp:lastModifiedBy>
  <cp:revision>21</cp:revision>
  <cp:lastPrinted>2013-03-15T12:22:00Z</cp:lastPrinted>
  <dcterms:created xsi:type="dcterms:W3CDTF">2016-04-21T12:49:00Z</dcterms:created>
  <dcterms:modified xsi:type="dcterms:W3CDTF">2016-04-22T08:37:00Z</dcterms:modified>
</cp:coreProperties>
</file>